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7E801" w14:textId="5F6240D3" w:rsidR="004E4C19" w:rsidRPr="00242117" w:rsidRDefault="00354C30" w:rsidP="00354C30">
      <w:pPr>
        <w:pStyle w:val="Heading2"/>
        <w:numPr>
          <w:ilvl w:val="0"/>
          <w:numId w:val="0"/>
        </w:numPr>
        <w:jc w:val="both"/>
        <w:rPr>
          <w:b/>
        </w:rPr>
      </w:pPr>
      <w:r w:rsidRPr="00354C30">
        <w:rPr>
          <w:b/>
        </w:rPr>
        <w:t xml:space="preserve">Experimentation, Partnership and Learning: Insights from </w:t>
      </w:r>
      <w:r w:rsidR="007D0CDB">
        <w:rPr>
          <w:b/>
        </w:rPr>
        <w:t xml:space="preserve">a review of </w:t>
      </w:r>
      <w:r w:rsidRPr="00354C30">
        <w:rPr>
          <w:b/>
        </w:rPr>
        <w:t>the first three years of DFAT’s</w:t>
      </w:r>
      <w:r>
        <w:rPr>
          <w:b/>
        </w:rPr>
        <w:t xml:space="preserve"> </w:t>
      </w:r>
      <w:r w:rsidR="00D52D65">
        <w:rPr>
          <w:b/>
        </w:rPr>
        <w:t>i</w:t>
      </w:r>
      <w:r w:rsidRPr="00354C30">
        <w:rPr>
          <w:b/>
        </w:rPr>
        <w:t>nnovationXchange</w:t>
      </w:r>
      <w:r w:rsidR="002C3C10">
        <w:rPr>
          <w:b/>
        </w:rPr>
        <w:t xml:space="preserve"> (March 2015 – June 2018)</w:t>
      </w:r>
    </w:p>
    <w:p w14:paraId="69A82B95" w14:textId="77777777" w:rsidR="00BF72AB" w:rsidRPr="00354C30" w:rsidRDefault="00BF72AB" w:rsidP="00354C30">
      <w:pPr>
        <w:rPr>
          <w:sz w:val="20"/>
          <w:szCs w:val="20"/>
          <w:lang w:val="en-AU"/>
        </w:rPr>
      </w:pPr>
    </w:p>
    <w:p w14:paraId="79DD2C28" w14:textId="69FDEE32" w:rsidR="006774D1" w:rsidRPr="00BD795E" w:rsidRDefault="00827EF9" w:rsidP="001F2786">
      <w:pPr>
        <w:pStyle w:val="Heading2"/>
        <w:numPr>
          <w:ilvl w:val="0"/>
          <w:numId w:val="0"/>
        </w:numPr>
        <w:jc w:val="both"/>
        <w:rPr>
          <w:rFonts w:ascii="Calibri" w:eastAsia="Times New Roman" w:hAnsi="Calibri" w:cs="Times New Roman"/>
          <w:b/>
          <w:sz w:val="20"/>
          <w:szCs w:val="20"/>
        </w:rPr>
      </w:pPr>
      <w:r w:rsidRPr="00C56533">
        <w:t>Introduction</w:t>
      </w:r>
    </w:p>
    <w:p w14:paraId="66462104" w14:textId="03EE893B" w:rsidR="00D80389" w:rsidRDefault="0019703A" w:rsidP="00CF5343">
      <w:pPr>
        <w:pStyle w:val="CommentText"/>
        <w:jc w:val="both"/>
        <w:rPr>
          <w:rFonts w:ascii="Calibri" w:hAnsi="Calibri"/>
          <w:color w:val="000000"/>
          <w:lang w:val="en-AU"/>
        </w:rPr>
      </w:pPr>
      <w:r w:rsidRPr="00781862">
        <w:rPr>
          <w:rFonts w:ascii="Calibri" w:eastAsia="Times New Roman" w:hAnsi="Calibri" w:cs="Times New Roman"/>
          <w:color w:val="000000"/>
          <w:lang w:val="en-AU"/>
        </w:rPr>
        <w:t xml:space="preserve">Australia’s Department of Foreign Affairs and Trade (DFAT) created the </w:t>
      </w:r>
      <w:hyperlink r:id="rId8" w:history="1">
        <w:r w:rsidRPr="00781862">
          <w:rPr>
            <w:rStyle w:val="Hyperlink"/>
            <w:rFonts w:ascii="Calibri" w:eastAsia="Times New Roman" w:hAnsi="Calibri" w:cs="Times New Roman"/>
            <w:lang w:val="en-AU"/>
          </w:rPr>
          <w:t>innovationXchange</w:t>
        </w:r>
      </w:hyperlink>
      <w:r w:rsidRPr="00781862">
        <w:rPr>
          <w:rFonts w:ascii="Calibri" w:eastAsia="Times New Roman" w:hAnsi="Calibri" w:cs="Times New Roman"/>
          <w:color w:val="000000"/>
          <w:lang w:val="en-AU"/>
        </w:rPr>
        <w:t xml:space="preserve"> (iXc) in 2015. </w:t>
      </w:r>
      <w:r w:rsidR="00050D6E">
        <w:t xml:space="preserve">The first three years of implementation </w:t>
      </w:r>
      <w:r w:rsidR="00395B7B">
        <w:t xml:space="preserve">(March 2015 – June 2018) </w:t>
      </w:r>
      <w:r w:rsidR="00050D6E">
        <w:t xml:space="preserve">were a period of growth and learning which focused on establishing the iXc, building partnerships, and sourcing and testing promising innovations. </w:t>
      </w:r>
      <w:r w:rsidR="001E409C" w:rsidRPr="00781862">
        <w:rPr>
          <w:rFonts w:ascii="Calibri" w:hAnsi="Calibri"/>
          <w:color w:val="000000"/>
          <w:lang w:val="en-AU"/>
        </w:rPr>
        <w:t xml:space="preserve">Over the course of 2018, </w:t>
      </w:r>
      <w:r w:rsidR="00827EF9" w:rsidRPr="00781862">
        <w:rPr>
          <w:rFonts w:ascii="Calibri" w:hAnsi="Calibri"/>
          <w:color w:val="000000"/>
          <w:lang w:val="en-AU"/>
        </w:rPr>
        <w:t xml:space="preserve">Results for Development (R4D) </w:t>
      </w:r>
      <w:r w:rsidR="001E409C" w:rsidRPr="00781862">
        <w:rPr>
          <w:rFonts w:ascii="Calibri" w:hAnsi="Calibri"/>
          <w:color w:val="000000"/>
          <w:lang w:val="en-AU"/>
        </w:rPr>
        <w:t>carried ou</w:t>
      </w:r>
      <w:r w:rsidR="00BA1305" w:rsidRPr="00781862">
        <w:rPr>
          <w:rFonts w:ascii="Calibri" w:hAnsi="Calibri"/>
          <w:color w:val="000000"/>
          <w:lang w:val="en-AU"/>
        </w:rPr>
        <w:t xml:space="preserve">t </w:t>
      </w:r>
      <w:r w:rsidR="00E726E6">
        <w:rPr>
          <w:rFonts w:ascii="Calibri" w:hAnsi="Calibri"/>
          <w:color w:val="000000"/>
          <w:lang w:val="en-AU"/>
        </w:rPr>
        <w:t xml:space="preserve">an </w:t>
      </w:r>
      <w:r w:rsidRPr="00781862">
        <w:rPr>
          <w:rFonts w:ascii="Calibri" w:hAnsi="Calibri"/>
          <w:color w:val="000000"/>
          <w:lang w:val="en-AU"/>
        </w:rPr>
        <w:t>analysis of</w:t>
      </w:r>
      <w:r w:rsidR="00BA1305" w:rsidRPr="00781862">
        <w:rPr>
          <w:rFonts w:ascii="Calibri" w:hAnsi="Calibri"/>
          <w:color w:val="000000"/>
          <w:lang w:val="en-AU"/>
        </w:rPr>
        <w:t xml:space="preserve"> </w:t>
      </w:r>
      <w:r w:rsidR="00827EF9" w:rsidRPr="00781862">
        <w:rPr>
          <w:rFonts w:ascii="Calibri" w:hAnsi="Calibri"/>
          <w:color w:val="000000"/>
          <w:lang w:val="en-AU"/>
        </w:rPr>
        <w:t xml:space="preserve">the </w:t>
      </w:r>
      <w:r w:rsidR="001C5F29">
        <w:rPr>
          <w:rFonts w:ascii="Calibri" w:hAnsi="Calibri"/>
          <w:color w:val="000000"/>
          <w:lang w:val="en-AU"/>
        </w:rPr>
        <w:t>iXc</w:t>
      </w:r>
      <w:r w:rsidRPr="00781862">
        <w:rPr>
          <w:rFonts w:ascii="Calibri" w:hAnsi="Calibri"/>
          <w:color w:val="000000"/>
          <w:lang w:val="en-AU"/>
        </w:rPr>
        <w:t xml:space="preserve"> with a focus on gathering</w:t>
      </w:r>
      <w:r w:rsidR="00BA1305" w:rsidRPr="00781862">
        <w:rPr>
          <w:rFonts w:ascii="Calibri" w:hAnsi="Calibri"/>
          <w:color w:val="000000"/>
          <w:lang w:val="en-AU"/>
        </w:rPr>
        <w:t xml:space="preserve"> lessons learned to </w:t>
      </w:r>
      <w:r w:rsidR="00827EF9" w:rsidRPr="00781862">
        <w:rPr>
          <w:rFonts w:ascii="Calibri" w:hAnsi="Calibri"/>
          <w:color w:val="000000"/>
          <w:lang w:val="en-AU"/>
        </w:rPr>
        <w:t xml:space="preserve">inform </w:t>
      </w:r>
      <w:r w:rsidR="00BA1305" w:rsidRPr="00781862">
        <w:rPr>
          <w:rFonts w:ascii="Calibri" w:hAnsi="Calibri"/>
          <w:color w:val="000000"/>
          <w:lang w:val="en-AU"/>
        </w:rPr>
        <w:t>the</w:t>
      </w:r>
      <w:r w:rsidR="0002532C">
        <w:rPr>
          <w:rFonts w:ascii="Calibri" w:hAnsi="Calibri"/>
          <w:color w:val="000000"/>
          <w:lang w:val="en-AU"/>
        </w:rPr>
        <w:t xml:space="preserve"> </w:t>
      </w:r>
      <w:r w:rsidR="0002532C" w:rsidRPr="0065529D">
        <w:rPr>
          <w:rFonts w:ascii="Calibri" w:hAnsi="Calibri"/>
          <w:color w:val="000000"/>
          <w:lang w:val="en-AU"/>
        </w:rPr>
        <w:t>development and</w:t>
      </w:r>
      <w:r w:rsidR="00BA1305" w:rsidRPr="00781862">
        <w:rPr>
          <w:rFonts w:ascii="Calibri" w:hAnsi="Calibri"/>
          <w:color w:val="000000"/>
          <w:lang w:val="en-AU"/>
        </w:rPr>
        <w:t xml:space="preserve"> </w:t>
      </w:r>
      <w:r w:rsidR="00827EF9" w:rsidRPr="00781862">
        <w:rPr>
          <w:rFonts w:ascii="Calibri" w:hAnsi="Calibri"/>
          <w:color w:val="000000"/>
          <w:lang w:val="en-AU"/>
        </w:rPr>
        <w:t xml:space="preserve">implementation of the </w:t>
      </w:r>
      <w:r w:rsidR="00827EF9" w:rsidRPr="00C33B15">
        <w:rPr>
          <w:rFonts w:ascii="Calibri" w:hAnsi="Calibri"/>
          <w:lang w:val="en-AU"/>
        </w:rPr>
        <w:t>DFAT Innovation Strategy for 2018-2021</w:t>
      </w:r>
      <w:r w:rsidR="00395B7B">
        <w:rPr>
          <w:rFonts w:ascii="Calibri" w:hAnsi="Calibri"/>
          <w:lang w:val="en-AU"/>
        </w:rPr>
        <w:t xml:space="preserve">, which addresses many of the recommendations made in this review. </w:t>
      </w:r>
      <w:r w:rsidR="00BA1305" w:rsidRPr="00781862">
        <w:rPr>
          <w:rFonts w:ascii="Calibri" w:hAnsi="Calibri"/>
          <w:color w:val="000000"/>
          <w:lang w:val="en-AU"/>
        </w:rPr>
        <w:t>The findings and reflections outlined below</w:t>
      </w:r>
      <w:r w:rsidR="00951D75" w:rsidRPr="00781862">
        <w:rPr>
          <w:rFonts w:ascii="Calibri" w:hAnsi="Calibri"/>
          <w:color w:val="000000"/>
          <w:lang w:val="en-AU"/>
        </w:rPr>
        <w:t xml:space="preserve">, which are structured around </w:t>
      </w:r>
      <w:r w:rsidR="00E91AAC" w:rsidRPr="00781862">
        <w:rPr>
          <w:rFonts w:ascii="Calibri" w:hAnsi="Calibri"/>
          <w:color w:val="000000"/>
          <w:lang w:val="en-AU"/>
        </w:rPr>
        <w:t>nine</w:t>
      </w:r>
      <w:r w:rsidR="00951D75" w:rsidRPr="00781862">
        <w:rPr>
          <w:rFonts w:ascii="Calibri" w:hAnsi="Calibri"/>
          <w:color w:val="000000"/>
          <w:lang w:val="en-AU"/>
        </w:rPr>
        <w:t xml:space="preserve"> key themes,</w:t>
      </w:r>
      <w:r w:rsidR="00BA1305" w:rsidRPr="00781862">
        <w:rPr>
          <w:rFonts w:ascii="Calibri" w:hAnsi="Calibri"/>
          <w:color w:val="000000"/>
          <w:lang w:val="en-AU"/>
        </w:rPr>
        <w:t xml:space="preserve"> are based on</w:t>
      </w:r>
      <w:r w:rsidR="00933B91" w:rsidRPr="00781862">
        <w:rPr>
          <w:rFonts w:ascii="Calibri" w:hAnsi="Calibri"/>
          <w:color w:val="000000"/>
          <w:lang w:val="en-AU"/>
        </w:rPr>
        <w:t xml:space="preserve"> data collected through desk research, document review, interviews and focus groups with different stakeholders within and external to DFAT.</w:t>
      </w:r>
      <w:r w:rsidR="00C21709">
        <w:rPr>
          <w:rFonts w:ascii="Calibri" w:hAnsi="Calibri"/>
          <w:color w:val="000000"/>
          <w:lang w:val="en-AU"/>
        </w:rPr>
        <w:t xml:space="preserve"> Throughout the report, references are made to examples of programs and projects supported by the iXc; brief background on each of these </w:t>
      </w:r>
      <w:r w:rsidR="00944BD1">
        <w:rPr>
          <w:rFonts w:ascii="Calibri" w:hAnsi="Calibri"/>
          <w:color w:val="000000"/>
          <w:lang w:val="en-AU"/>
        </w:rPr>
        <w:t>initiatives</w:t>
      </w:r>
      <w:r w:rsidR="00C21709">
        <w:rPr>
          <w:rFonts w:ascii="Calibri" w:hAnsi="Calibri"/>
          <w:color w:val="000000"/>
          <w:lang w:val="en-AU"/>
        </w:rPr>
        <w:t xml:space="preserve"> is provided for reference on</w:t>
      </w:r>
      <w:r w:rsidR="00630482">
        <w:rPr>
          <w:rFonts w:ascii="Calibri" w:hAnsi="Calibri"/>
          <w:color w:val="000000"/>
          <w:lang w:val="en-AU"/>
        </w:rPr>
        <w:t xml:space="preserve"> the final page</w:t>
      </w:r>
      <w:r w:rsidR="00C21709">
        <w:rPr>
          <w:rFonts w:ascii="Calibri" w:hAnsi="Calibri"/>
          <w:color w:val="000000"/>
          <w:lang w:val="en-AU"/>
        </w:rPr>
        <w:t xml:space="preserve">, along with links to </w:t>
      </w:r>
      <w:r w:rsidR="00C474A2">
        <w:rPr>
          <w:rFonts w:ascii="Calibri" w:hAnsi="Calibri"/>
          <w:color w:val="000000"/>
          <w:lang w:val="en-AU"/>
        </w:rPr>
        <w:t>further</w:t>
      </w:r>
      <w:r w:rsidR="00C21709">
        <w:rPr>
          <w:rFonts w:ascii="Calibri" w:hAnsi="Calibri"/>
          <w:color w:val="000000"/>
          <w:lang w:val="en-AU"/>
        </w:rPr>
        <w:t xml:space="preserve"> information.</w:t>
      </w:r>
    </w:p>
    <w:p w14:paraId="71135ED1" w14:textId="77777777" w:rsidR="005D595F" w:rsidRPr="00050D6E" w:rsidRDefault="005D595F" w:rsidP="00CF5343">
      <w:pPr>
        <w:pStyle w:val="CommentText"/>
        <w:jc w:val="both"/>
      </w:pPr>
    </w:p>
    <w:p w14:paraId="5F3610E0" w14:textId="7B5C0B5E" w:rsidR="00E609C5" w:rsidRPr="005D595F" w:rsidRDefault="005D595F" w:rsidP="005D595F">
      <w:pPr>
        <w:pStyle w:val="CommentText"/>
        <w:jc w:val="both"/>
        <w:rPr>
          <w:rFonts w:ascii="Calibri" w:hAnsi="Calibri"/>
          <w:i/>
          <w:iCs/>
          <w:color w:val="572181" w:themeColor="accent3"/>
          <w:lang w:val="en-AU"/>
        </w:rPr>
      </w:pPr>
      <w:r w:rsidRPr="005D595F">
        <w:rPr>
          <w:rFonts w:ascii="Calibri" w:hAnsi="Calibri"/>
          <w:i/>
          <w:iCs/>
          <w:color w:val="572181" w:themeColor="accent3"/>
          <w:lang w:val="en-AU"/>
        </w:rPr>
        <w:t>This report was created with funding from the iXc. As a learning partner our goal with these findings was to help the iXc reflect on their work and adapt their approach moving forward to achieve their intended impact. These findings and recommendations were intended for an iXc audienc</w:t>
      </w:r>
      <w:bookmarkStart w:id="0" w:name="_GoBack"/>
      <w:bookmarkEnd w:id="0"/>
      <w:r w:rsidRPr="005D595F">
        <w:rPr>
          <w:rFonts w:ascii="Calibri" w:hAnsi="Calibri"/>
          <w:i/>
          <w:iCs/>
          <w:color w:val="572181" w:themeColor="accent3"/>
          <w:lang w:val="en-AU"/>
        </w:rPr>
        <w:t>e, but made public in the interest of full transparency.</w:t>
      </w:r>
    </w:p>
    <w:p w14:paraId="57E0EBD1" w14:textId="77777777" w:rsidR="005D595F" w:rsidRPr="00125BFE" w:rsidRDefault="005D595F" w:rsidP="001F2786">
      <w:pPr>
        <w:spacing w:after="80"/>
        <w:jc w:val="both"/>
        <w:rPr>
          <w:rFonts w:ascii="Calibri" w:hAnsi="Calibri"/>
          <w:color w:val="313233" w:themeColor="text1"/>
          <w:sz w:val="20"/>
          <w:szCs w:val="20"/>
          <w:lang w:val="en-AU"/>
        </w:rPr>
      </w:pPr>
    </w:p>
    <w:p w14:paraId="1C5F603D" w14:textId="4A369A36" w:rsidR="001C37B5" w:rsidRPr="00C56533" w:rsidRDefault="001C37B5" w:rsidP="001F2786">
      <w:pPr>
        <w:pStyle w:val="Heading2"/>
        <w:jc w:val="both"/>
      </w:pPr>
      <w:r w:rsidRPr="00C56533">
        <w:t>Establishing and operating an innovation hub</w:t>
      </w:r>
    </w:p>
    <w:p w14:paraId="056B6E09" w14:textId="67AEE73C" w:rsidR="0092431B" w:rsidRPr="00F8646C" w:rsidRDefault="00951D75" w:rsidP="001F2786">
      <w:pPr>
        <w:spacing w:after="80"/>
        <w:jc w:val="both"/>
        <w:rPr>
          <w:rFonts w:ascii="Calibri" w:hAnsi="Calibri"/>
          <w:color w:val="000000"/>
          <w:sz w:val="20"/>
          <w:szCs w:val="20"/>
        </w:rPr>
      </w:pPr>
      <w:r w:rsidRPr="00D80389">
        <w:rPr>
          <w:rFonts w:ascii="Calibri" w:hAnsi="Calibri"/>
          <w:color w:val="000000"/>
          <w:sz w:val="20"/>
          <w:szCs w:val="20"/>
          <w:lang w:val="en-AU"/>
        </w:rPr>
        <w:t>The innovationXchange (iXc) was</w:t>
      </w:r>
      <w:r w:rsidR="006827DD">
        <w:rPr>
          <w:rFonts w:ascii="Calibri" w:hAnsi="Calibri"/>
          <w:color w:val="000000"/>
          <w:sz w:val="20"/>
          <w:szCs w:val="20"/>
          <w:lang w:val="en-AU"/>
        </w:rPr>
        <w:t xml:space="preserve"> launched</w:t>
      </w:r>
      <w:r w:rsidRPr="00D80389">
        <w:rPr>
          <w:rFonts w:ascii="Calibri" w:hAnsi="Calibri"/>
          <w:color w:val="000000"/>
          <w:sz w:val="20"/>
          <w:szCs w:val="20"/>
          <w:lang w:val="en-AU"/>
        </w:rPr>
        <w:t xml:space="preserve"> by </w:t>
      </w:r>
      <w:r w:rsidR="004B0363">
        <w:rPr>
          <w:rFonts w:ascii="Calibri" w:hAnsi="Calibri"/>
          <w:color w:val="000000"/>
          <w:sz w:val="20"/>
          <w:szCs w:val="20"/>
          <w:lang w:val="en-AU"/>
        </w:rPr>
        <w:t>f</w:t>
      </w:r>
      <w:r w:rsidR="009C671C" w:rsidRPr="00D80389">
        <w:rPr>
          <w:rFonts w:ascii="Calibri" w:hAnsi="Calibri"/>
          <w:color w:val="000000"/>
          <w:sz w:val="20"/>
          <w:szCs w:val="20"/>
          <w:lang w:val="en-AU"/>
        </w:rPr>
        <w:t>ormer Foreign Minister Julie Bishop MP</w:t>
      </w:r>
      <w:r w:rsidR="006827DD" w:rsidRPr="006827DD">
        <w:rPr>
          <w:rFonts w:ascii="Calibri" w:hAnsi="Calibri"/>
          <w:color w:val="000000"/>
          <w:sz w:val="20"/>
          <w:szCs w:val="20"/>
          <w:lang w:val="en-AU"/>
        </w:rPr>
        <w:t xml:space="preserve"> </w:t>
      </w:r>
      <w:r w:rsidR="006827DD" w:rsidRPr="00D80389">
        <w:rPr>
          <w:rFonts w:ascii="Calibri" w:hAnsi="Calibri"/>
          <w:color w:val="000000"/>
          <w:sz w:val="20"/>
          <w:szCs w:val="20"/>
          <w:lang w:val="en-AU"/>
        </w:rPr>
        <w:t>in March 2015</w:t>
      </w:r>
      <w:r w:rsidR="00D80389">
        <w:rPr>
          <w:rFonts w:ascii="Calibri" w:hAnsi="Calibri"/>
          <w:color w:val="000000"/>
          <w:sz w:val="20"/>
          <w:szCs w:val="20"/>
          <w:lang w:val="en-AU"/>
        </w:rPr>
        <w:t xml:space="preserve">. The vision </w:t>
      </w:r>
      <w:r w:rsidR="00102E6A">
        <w:rPr>
          <w:rFonts w:ascii="Calibri" w:hAnsi="Calibri"/>
          <w:color w:val="000000"/>
          <w:sz w:val="20"/>
          <w:szCs w:val="20"/>
          <w:lang w:val="en-AU"/>
        </w:rPr>
        <w:t xml:space="preserve">was for the </w:t>
      </w:r>
      <w:r w:rsidR="00D80389">
        <w:rPr>
          <w:rFonts w:ascii="Calibri" w:hAnsi="Calibri"/>
          <w:color w:val="000000"/>
          <w:sz w:val="20"/>
          <w:szCs w:val="20"/>
          <w:lang w:val="en-AU"/>
        </w:rPr>
        <w:t>iXc to</w:t>
      </w:r>
      <w:r w:rsidR="00102E6A">
        <w:rPr>
          <w:rFonts w:ascii="Calibri" w:hAnsi="Calibri"/>
          <w:color w:val="000000"/>
          <w:sz w:val="20"/>
          <w:szCs w:val="20"/>
          <w:lang w:val="en-AU"/>
        </w:rPr>
        <w:t xml:space="preserve"> lead the </w:t>
      </w:r>
      <w:r w:rsidR="00102E6A" w:rsidRPr="003115D5">
        <w:rPr>
          <w:rFonts w:ascii="Calibri" w:hAnsi="Calibri"/>
          <w:color w:val="000000"/>
          <w:sz w:val="20"/>
          <w:szCs w:val="20"/>
          <w:lang w:val="en-AU"/>
        </w:rPr>
        <w:t>innovation agenda across DFAT</w:t>
      </w:r>
      <w:r w:rsidR="003115D5" w:rsidRPr="003115D5">
        <w:rPr>
          <w:rFonts w:ascii="Calibri" w:hAnsi="Calibri"/>
          <w:color w:val="000000"/>
          <w:sz w:val="20"/>
          <w:szCs w:val="20"/>
          <w:lang w:val="en-AU"/>
        </w:rPr>
        <w:t xml:space="preserve"> in order to address some of the most pressing development challenges affecting the Indo-Pacific region.</w:t>
      </w:r>
      <w:r w:rsidR="003115D5">
        <w:rPr>
          <w:rFonts w:ascii="Calibri" w:hAnsi="Calibri"/>
          <w:color w:val="000000"/>
          <w:sz w:val="20"/>
          <w:szCs w:val="20"/>
          <w:lang w:val="en-AU"/>
        </w:rPr>
        <w:t xml:space="preserve"> Through</w:t>
      </w:r>
      <w:r w:rsidR="00102E6A">
        <w:rPr>
          <w:rFonts w:ascii="Calibri" w:hAnsi="Calibri"/>
          <w:color w:val="000000"/>
          <w:sz w:val="20"/>
          <w:szCs w:val="20"/>
          <w:lang w:val="en-AU"/>
        </w:rPr>
        <w:t xml:space="preserve"> </w:t>
      </w:r>
      <w:r w:rsidR="0092431B">
        <w:rPr>
          <w:rFonts w:ascii="Calibri" w:hAnsi="Calibri"/>
          <w:color w:val="000000"/>
          <w:sz w:val="20"/>
          <w:szCs w:val="20"/>
          <w:lang w:val="en-AU"/>
        </w:rPr>
        <w:t>facilitating</w:t>
      </w:r>
      <w:r w:rsidR="00102E6A">
        <w:rPr>
          <w:rFonts w:ascii="Calibri" w:hAnsi="Calibri"/>
          <w:color w:val="000000"/>
          <w:sz w:val="20"/>
          <w:szCs w:val="20"/>
          <w:lang w:val="en-AU"/>
        </w:rPr>
        <w:t xml:space="preserve"> </w:t>
      </w:r>
      <w:r w:rsidR="002F4462">
        <w:rPr>
          <w:rFonts w:ascii="Calibri" w:hAnsi="Calibri"/>
          <w:color w:val="000000"/>
          <w:sz w:val="20"/>
          <w:szCs w:val="20"/>
          <w:lang w:val="en-AU"/>
        </w:rPr>
        <w:t xml:space="preserve">greater </w:t>
      </w:r>
      <w:r w:rsidR="00102E6A" w:rsidRPr="009A6EF9">
        <w:rPr>
          <w:rFonts w:ascii="Calibri" w:hAnsi="Calibri"/>
          <w:color w:val="000000"/>
          <w:sz w:val="20"/>
          <w:szCs w:val="20"/>
          <w:lang w:val="en-AU"/>
        </w:rPr>
        <w:t>experiment</w:t>
      </w:r>
      <w:r w:rsidR="00102E6A">
        <w:rPr>
          <w:rFonts w:ascii="Calibri" w:hAnsi="Calibri"/>
          <w:color w:val="000000"/>
          <w:sz w:val="20"/>
          <w:szCs w:val="20"/>
          <w:lang w:val="en-AU"/>
        </w:rPr>
        <w:t>ation</w:t>
      </w:r>
      <w:r w:rsidR="002F4462">
        <w:rPr>
          <w:rFonts w:ascii="Calibri" w:hAnsi="Calibri"/>
          <w:color w:val="000000"/>
          <w:sz w:val="20"/>
          <w:szCs w:val="20"/>
          <w:lang w:val="en-AU"/>
        </w:rPr>
        <w:t xml:space="preserve">, </w:t>
      </w:r>
      <w:r w:rsidR="00102E6A">
        <w:rPr>
          <w:rFonts w:ascii="Calibri" w:hAnsi="Calibri"/>
          <w:color w:val="000000"/>
          <w:sz w:val="20"/>
          <w:szCs w:val="20"/>
          <w:lang w:val="en-AU"/>
        </w:rPr>
        <w:t>partnership building</w:t>
      </w:r>
      <w:r w:rsidR="002F4462">
        <w:rPr>
          <w:rFonts w:ascii="Calibri" w:hAnsi="Calibri"/>
          <w:color w:val="000000"/>
          <w:sz w:val="20"/>
          <w:szCs w:val="20"/>
          <w:lang w:val="en-AU"/>
        </w:rPr>
        <w:t xml:space="preserve"> and learning</w:t>
      </w:r>
      <w:r w:rsidR="003115D5">
        <w:rPr>
          <w:rFonts w:ascii="Calibri" w:hAnsi="Calibri"/>
          <w:color w:val="000000"/>
          <w:sz w:val="20"/>
          <w:szCs w:val="20"/>
          <w:lang w:val="en-AU"/>
        </w:rPr>
        <w:t xml:space="preserve"> across the department, the </w:t>
      </w:r>
      <w:r w:rsidR="001E7A7E">
        <w:rPr>
          <w:rFonts w:ascii="Calibri" w:hAnsi="Calibri"/>
          <w:color w:val="000000"/>
          <w:sz w:val="20"/>
          <w:szCs w:val="20"/>
          <w:lang w:val="en-AU"/>
        </w:rPr>
        <w:t>iXc</w:t>
      </w:r>
      <w:r w:rsidR="0092431B">
        <w:rPr>
          <w:rFonts w:ascii="Calibri" w:hAnsi="Calibri"/>
          <w:color w:val="000000"/>
          <w:sz w:val="20"/>
          <w:szCs w:val="20"/>
          <w:lang w:val="en-AU"/>
        </w:rPr>
        <w:t xml:space="preserve"> ultimately</w:t>
      </w:r>
      <w:r w:rsidR="001E7A7E">
        <w:rPr>
          <w:rFonts w:ascii="Calibri" w:hAnsi="Calibri"/>
          <w:color w:val="000000"/>
          <w:sz w:val="20"/>
          <w:szCs w:val="20"/>
          <w:lang w:val="en-AU"/>
        </w:rPr>
        <w:t xml:space="preserve"> </w:t>
      </w:r>
      <w:r w:rsidR="0092431B">
        <w:rPr>
          <w:rFonts w:ascii="Calibri" w:hAnsi="Calibri"/>
          <w:color w:val="000000"/>
          <w:sz w:val="20"/>
          <w:szCs w:val="20"/>
          <w:lang w:val="en-AU"/>
        </w:rPr>
        <w:t>aimed</w:t>
      </w:r>
      <w:r w:rsidR="004003A2">
        <w:rPr>
          <w:rFonts w:ascii="Calibri" w:hAnsi="Calibri"/>
          <w:color w:val="000000"/>
          <w:sz w:val="20"/>
          <w:szCs w:val="20"/>
          <w:lang w:val="en-AU"/>
        </w:rPr>
        <w:t xml:space="preserve"> </w:t>
      </w:r>
      <w:r w:rsidR="00F8646C">
        <w:rPr>
          <w:rFonts w:ascii="Calibri" w:hAnsi="Calibri"/>
          <w:color w:val="000000"/>
          <w:sz w:val="20"/>
          <w:szCs w:val="20"/>
          <w:lang w:val="en-AU"/>
        </w:rPr>
        <w:t>for</w:t>
      </w:r>
      <w:r w:rsidR="00535E15">
        <w:rPr>
          <w:rFonts w:ascii="Calibri" w:hAnsi="Calibri"/>
          <w:color w:val="000000"/>
          <w:sz w:val="20"/>
          <w:szCs w:val="20"/>
          <w:lang w:val="en-AU"/>
        </w:rPr>
        <w:t xml:space="preserve"> </w:t>
      </w:r>
      <w:r w:rsidR="00E52FFF">
        <w:rPr>
          <w:rFonts w:ascii="Calibri" w:hAnsi="Calibri"/>
          <w:color w:val="000000"/>
          <w:sz w:val="20"/>
          <w:szCs w:val="20"/>
          <w:lang w:val="en-AU"/>
        </w:rPr>
        <w:t>Australi</w:t>
      </w:r>
      <w:r w:rsidR="00F84EA4">
        <w:rPr>
          <w:rFonts w:ascii="Calibri" w:hAnsi="Calibri"/>
          <w:color w:val="000000"/>
          <w:sz w:val="20"/>
          <w:szCs w:val="20"/>
          <w:lang w:val="en-AU"/>
        </w:rPr>
        <w:t>a’s a</w:t>
      </w:r>
      <w:r w:rsidR="00E52FFF">
        <w:rPr>
          <w:rFonts w:ascii="Calibri" w:hAnsi="Calibri"/>
          <w:color w:val="000000"/>
          <w:sz w:val="20"/>
          <w:szCs w:val="20"/>
          <w:lang w:val="en-AU"/>
        </w:rPr>
        <w:t>id</w:t>
      </w:r>
      <w:r w:rsidR="00F84EA4">
        <w:rPr>
          <w:rFonts w:ascii="Calibri" w:hAnsi="Calibri"/>
          <w:color w:val="000000"/>
          <w:sz w:val="20"/>
          <w:szCs w:val="20"/>
          <w:lang w:val="en-AU"/>
        </w:rPr>
        <w:t xml:space="preserve"> program</w:t>
      </w:r>
      <w:r w:rsidR="00E52FFF">
        <w:rPr>
          <w:rFonts w:ascii="Calibri" w:hAnsi="Calibri"/>
          <w:color w:val="000000"/>
          <w:sz w:val="20"/>
          <w:szCs w:val="20"/>
          <w:lang w:val="en-AU"/>
        </w:rPr>
        <w:t xml:space="preserve"> to become a</w:t>
      </w:r>
      <w:r w:rsidR="00F84EA4">
        <w:rPr>
          <w:rFonts w:ascii="Calibri" w:hAnsi="Calibri"/>
          <w:color w:val="000000"/>
          <w:sz w:val="20"/>
          <w:szCs w:val="20"/>
          <w:lang w:val="en-AU"/>
        </w:rPr>
        <w:t xml:space="preserve"> global</w:t>
      </w:r>
      <w:r w:rsidR="00E52FFF">
        <w:rPr>
          <w:rFonts w:ascii="Calibri" w:hAnsi="Calibri"/>
          <w:color w:val="000000"/>
          <w:sz w:val="20"/>
          <w:szCs w:val="20"/>
          <w:lang w:val="en-AU"/>
        </w:rPr>
        <w:t xml:space="preserve"> leader in innovation</w:t>
      </w:r>
      <w:r w:rsidR="004D4A3D">
        <w:rPr>
          <w:rFonts w:ascii="Calibri" w:hAnsi="Calibri"/>
          <w:color w:val="000000"/>
          <w:sz w:val="20"/>
          <w:szCs w:val="20"/>
          <w:lang w:val="en-AU"/>
        </w:rPr>
        <w:t xml:space="preserve">. </w:t>
      </w:r>
      <w:r w:rsidR="0092431B">
        <w:rPr>
          <w:rFonts w:ascii="Calibri" w:hAnsi="Calibri"/>
          <w:color w:val="000000"/>
          <w:sz w:val="20"/>
          <w:szCs w:val="20"/>
          <w:lang w:val="en-AU"/>
        </w:rPr>
        <w:t xml:space="preserve">In 2017/18, activities were </w:t>
      </w:r>
      <w:r w:rsidR="003212EB">
        <w:rPr>
          <w:rFonts w:ascii="Calibri" w:hAnsi="Calibri"/>
          <w:color w:val="000000"/>
          <w:sz w:val="20"/>
          <w:szCs w:val="20"/>
          <w:lang w:val="en-AU"/>
        </w:rPr>
        <w:t>framed</w:t>
      </w:r>
      <w:r w:rsidR="0092431B">
        <w:rPr>
          <w:rFonts w:ascii="Calibri" w:hAnsi="Calibri"/>
          <w:color w:val="000000"/>
          <w:sz w:val="20"/>
          <w:szCs w:val="20"/>
          <w:lang w:val="en-AU"/>
        </w:rPr>
        <w:t xml:space="preserve"> around</w:t>
      </w:r>
      <w:r w:rsidR="005E66A5">
        <w:rPr>
          <w:rFonts w:ascii="Calibri" w:hAnsi="Calibri"/>
          <w:color w:val="000000"/>
          <w:sz w:val="20"/>
          <w:szCs w:val="20"/>
          <w:lang w:val="en-AU"/>
        </w:rPr>
        <w:t xml:space="preserve"> four key objectives:</w:t>
      </w:r>
    </w:p>
    <w:p w14:paraId="6EA2DBD6" w14:textId="772AA2B7" w:rsidR="0092431B" w:rsidRPr="0092431B" w:rsidRDefault="0092431B" w:rsidP="009349B6">
      <w:pPr>
        <w:numPr>
          <w:ilvl w:val="0"/>
          <w:numId w:val="2"/>
        </w:numPr>
        <w:spacing w:after="80"/>
        <w:jc w:val="both"/>
        <w:rPr>
          <w:rFonts w:ascii="Calibri" w:hAnsi="Calibri"/>
          <w:color w:val="000000"/>
          <w:sz w:val="20"/>
          <w:szCs w:val="20"/>
          <w:lang w:val="en-AU"/>
        </w:rPr>
      </w:pPr>
      <w:r>
        <w:rPr>
          <w:rFonts w:ascii="Calibri" w:hAnsi="Calibri"/>
          <w:color w:val="000000"/>
          <w:sz w:val="20"/>
          <w:szCs w:val="20"/>
          <w:lang w:val="en-AU"/>
        </w:rPr>
        <w:t>S</w:t>
      </w:r>
      <w:r w:rsidRPr="0092431B">
        <w:rPr>
          <w:rFonts w:ascii="Calibri" w:hAnsi="Calibri"/>
          <w:color w:val="000000"/>
          <w:sz w:val="20"/>
          <w:szCs w:val="20"/>
          <w:lang w:val="en-AU"/>
        </w:rPr>
        <w:t xml:space="preserve">upport </w:t>
      </w:r>
      <w:r w:rsidR="00E726E6">
        <w:rPr>
          <w:rFonts w:ascii="Calibri" w:hAnsi="Calibri"/>
          <w:color w:val="000000"/>
          <w:sz w:val="20"/>
          <w:szCs w:val="20"/>
          <w:lang w:val="en-AU"/>
        </w:rPr>
        <w:t xml:space="preserve">the </w:t>
      </w:r>
      <w:r w:rsidRPr="0092431B">
        <w:rPr>
          <w:rFonts w:ascii="Calibri" w:hAnsi="Calibri"/>
          <w:color w:val="000000"/>
          <w:sz w:val="20"/>
          <w:szCs w:val="20"/>
          <w:lang w:val="en-AU"/>
        </w:rPr>
        <w:t>trialling</w:t>
      </w:r>
      <w:r w:rsidR="00E726E6">
        <w:rPr>
          <w:rFonts w:ascii="Calibri" w:hAnsi="Calibri"/>
          <w:color w:val="000000"/>
          <w:sz w:val="20"/>
          <w:szCs w:val="20"/>
          <w:lang w:val="en-AU"/>
        </w:rPr>
        <w:t xml:space="preserve"> of</w:t>
      </w:r>
      <w:r w:rsidRPr="0092431B">
        <w:rPr>
          <w:rFonts w:ascii="Calibri" w:hAnsi="Calibri"/>
          <w:color w:val="000000"/>
          <w:sz w:val="20"/>
          <w:szCs w:val="20"/>
          <w:lang w:val="en-AU"/>
        </w:rPr>
        <w:t xml:space="preserve"> innovations and building innovative capability at posts</w:t>
      </w:r>
      <w:r w:rsidR="005E66A5">
        <w:rPr>
          <w:rFonts w:ascii="Calibri" w:hAnsi="Calibri"/>
          <w:color w:val="000000"/>
          <w:sz w:val="20"/>
          <w:szCs w:val="20"/>
          <w:lang w:val="en-AU"/>
        </w:rPr>
        <w:t>;</w:t>
      </w:r>
    </w:p>
    <w:p w14:paraId="78D884EB" w14:textId="5D87E721" w:rsidR="0092431B" w:rsidRPr="0092431B" w:rsidRDefault="0092431B" w:rsidP="009349B6">
      <w:pPr>
        <w:numPr>
          <w:ilvl w:val="0"/>
          <w:numId w:val="2"/>
        </w:numPr>
        <w:spacing w:after="80"/>
        <w:jc w:val="both"/>
        <w:rPr>
          <w:rFonts w:ascii="Calibri" w:hAnsi="Calibri"/>
          <w:color w:val="000000"/>
          <w:sz w:val="20"/>
          <w:szCs w:val="20"/>
          <w:lang w:val="en-AU"/>
        </w:rPr>
      </w:pPr>
      <w:r>
        <w:rPr>
          <w:rFonts w:ascii="Calibri" w:hAnsi="Calibri"/>
          <w:color w:val="000000"/>
          <w:sz w:val="20"/>
          <w:szCs w:val="20"/>
          <w:lang w:val="en-AU"/>
        </w:rPr>
        <w:t>E</w:t>
      </w:r>
      <w:r w:rsidRPr="0092431B">
        <w:rPr>
          <w:rFonts w:ascii="Calibri" w:hAnsi="Calibri"/>
          <w:color w:val="000000"/>
          <w:sz w:val="20"/>
          <w:szCs w:val="20"/>
          <w:lang w:val="en-AU"/>
        </w:rPr>
        <w:t>mbrace new directions that complement existing program priorities</w:t>
      </w:r>
      <w:r w:rsidR="005E66A5">
        <w:rPr>
          <w:rFonts w:ascii="Calibri" w:hAnsi="Calibri"/>
          <w:color w:val="000000"/>
          <w:sz w:val="20"/>
          <w:szCs w:val="20"/>
          <w:lang w:val="en-AU"/>
        </w:rPr>
        <w:t>;</w:t>
      </w:r>
    </w:p>
    <w:p w14:paraId="25702608" w14:textId="118BF898" w:rsidR="0092431B" w:rsidRPr="0092431B" w:rsidRDefault="0092431B" w:rsidP="009349B6">
      <w:pPr>
        <w:numPr>
          <w:ilvl w:val="0"/>
          <w:numId w:val="2"/>
        </w:numPr>
        <w:spacing w:after="80"/>
        <w:jc w:val="both"/>
        <w:rPr>
          <w:rFonts w:ascii="Calibri" w:hAnsi="Calibri"/>
          <w:color w:val="000000"/>
          <w:sz w:val="20"/>
          <w:szCs w:val="20"/>
          <w:lang w:val="en-AU"/>
        </w:rPr>
      </w:pPr>
      <w:r>
        <w:rPr>
          <w:rFonts w:ascii="Calibri" w:hAnsi="Calibri"/>
          <w:color w:val="000000"/>
          <w:sz w:val="20"/>
          <w:szCs w:val="20"/>
          <w:lang w:val="en-AU"/>
        </w:rPr>
        <w:t>E</w:t>
      </w:r>
      <w:r w:rsidRPr="0092431B">
        <w:rPr>
          <w:rFonts w:ascii="Calibri" w:hAnsi="Calibri"/>
          <w:color w:val="000000"/>
          <w:sz w:val="20"/>
          <w:szCs w:val="20"/>
          <w:lang w:val="en-AU"/>
        </w:rPr>
        <w:t>ncourage knowledge and resource transfer into the Indo-Pacific</w:t>
      </w:r>
      <w:r w:rsidR="005E66A5">
        <w:rPr>
          <w:rFonts w:ascii="Calibri" w:hAnsi="Calibri"/>
          <w:color w:val="000000"/>
          <w:sz w:val="20"/>
          <w:szCs w:val="20"/>
          <w:lang w:val="en-AU"/>
        </w:rPr>
        <w:t>; and</w:t>
      </w:r>
    </w:p>
    <w:p w14:paraId="3CDCE4A0" w14:textId="028046BB" w:rsidR="00AF2579" w:rsidRPr="0092431B" w:rsidRDefault="0092431B" w:rsidP="009349B6">
      <w:pPr>
        <w:numPr>
          <w:ilvl w:val="0"/>
          <w:numId w:val="2"/>
        </w:numPr>
        <w:spacing w:after="80"/>
        <w:jc w:val="both"/>
        <w:rPr>
          <w:rFonts w:ascii="Calibri" w:hAnsi="Calibri"/>
          <w:color w:val="000000"/>
          <w:sz w:val="20"/>
          <w:szCs w:val="20"/>
          <w:lang w:val="en-AU"/>
        </w:rPr>
      </w:pPr>
      <w:r>
        <w:rPr>
          <w:rFonts w:ascii="Calibri" w:hAnsi="Calibri"/>
          <w:color w:val="000000"/>
          <w:sz w:val="20"/>
          <w:szCs w:val="20"/>
          <w:lang w:val="en-AU"/>
        </w:rPr>
        <w:t>T</w:t>
      </w:r>
      <w:r w:rsidRPr="0092431B">
        <w:rPr>
          <w:rFonts w:ascii="Calibri" w:hAnsi="Calibri"/>
          <w:color w:val="000000"/>
          <w:sz w:val="20"/>
          <w:szCs w:val="20"/>
          <w:lang w:val="en-AU"/>
        </w:rPr>
        <w:t>est and support Australia’s aid program to adopt innovative cross</w:t>
      </w:r>
      <w:r w:rsidR="00C04738">
        <w:rPr>
          <w:rFonts w:ascii="Calibri" w:hAnsi="Calibri"/>
          <w:color w:val="000000"/>
          <w:sz w:val="20"/>
          <w:szCs w:val="20"/>
          <w:lang w:val="en-AU"/>
        </w:rPr>
        <w:t>-</w:t>
      </w:r>
      <w:r w:rsidRPr="0092431B">
        <w:rPr>
          <w:rFonts w:ascii="Calibri" w:hAnsi="Calibri"/>
          <w:color w:val="000000"/>
          <w:sz w:val="20"/>
          <w:szCs w:val="20"/>
          <w:lang w:val="en-AU"/>
        </w:rPr>
        <w:t>cutting themes, approaches and tools.</w:t>
      </w:r>
    </w:p>
    <w:p w14:paraId="50826BFA" w14:textId="3BB480E7" w:rsidR="00C9156F" w:rsidRPr="00926991" w:rsidRDefault="00AF2579" w:rsidP="00926991">
      <w:pPr>
        <w:spacing w:after="80"/>
        <w:jc w:val="both"/>
        <w:rPr>
          <w:rFonts w:ascii="Calibri" w:hAnsi="Calibri"/>
          <w:color w:val="000000"/>
          <w:sz w:val="20"/>
          <w:szCs w:val="20"/>
          <w:lang w:val="en-AU"/>
        </w:rPr>
      </w:pPr>
      <w:r>
        <w:rPr>
          <w:rFonts w:ascii="Calibri" w:hAnsi="Calibri"/>
          <w:color w:val="000000"/>
          <w:sz w:val="20"/>
          <w:szCs w:val="20"/>
          <w:lang w:val="en-AU"/>
        </w:rPr>
        <w:t>The iXc was established at a time when there was a</w:t>
      </w:r>
      <w:r w:rsidR="006E6919">
        <w:rPr>
          <w:rFonts w:ascii="Calibri" w:hAnsi="Calibri"/>
          <w:color w:val="000000"/>
          <w:sz w:val="20"/>
          <w:szCs w:val="20"/>
          <w:lang w:val="en-AU"/>
        </w:rPr>
        <w:t xml:space="preserve"> strong</w:t>
      </w:r>
      <w:r>
        <w:rPr>
          <w:rFonts w:ascii="Calibri" w:hAnsi="Calibri"/>
          <w:color w:val="000000"/>
          <w:sz w:val="20"/>
          <w:szCs w:val="20"/>
          <w:lang w:val="en-AU"/>
        </w:rPr>
        <w:t xml:space="preserve"> trend amongst development agencies and other public sector bodies to launch innovation hubs. </w:t>
      </w:r>
      <w:r w:rsidR="00436E2E">
        <w:rPr>
          <w:rFonts w:ascii="Calibri" w:hAnsi="Calibri"/>
          <w:color w:val="000000"/>
          <w:sz w:val="20"/>
          <w:szCs w:val="20"/>
          <w:lang w:val="en-AU"/>
        </w:rPr>
        <w:t xml:space="preserve">A </w:t>
      </w:r>
      <w:r w:rsidR="0047677D">
        <w:rPr>
          <w:rFonts w:ascii="Calibri" w:hAnsi="Calibri"/>
          <w:color w:val="000000"/>
          <w:sz w:val="20"/>
          <w:szCs w:val="20"/>
          <w:lang w:val="en-AU"/>
        </w:rPr>
        <w:t>landscap</w:t>
      </w:r>
      <w:r w:rsidR="00E306B0">
        <w:rPr>
          <w:rFonts w:ascii="Calibri" w:hAnsi="Calibri"/>
          <w:color w:val="000000"/>
          <w:sz w:val="20"/>
          <w:szCs w:val="20"/>
          <w:lang w:val="en-AU"/>
        </w:rPr>
        <w:t>e mapping</w:t>
      </w:r>
      <w:r w:rsidR="0047677D">
        <w:rPr>
          <w:rFonts w:ascii="Calibri" w:hAnsi="Calibri"/>
          <w:color w:val="000000"/>
          <w:sz w:val="20"/>
          <w:szCs w:val="20"/>
          <w:lang w:val="en-AU"/>
        </w:rPr>
        <w:t xml:space="preserve"> exercise</w:t>
      </w:r>
      <w:r w:rsidR="00263AD3">
        <w:rPr>
          <w:rFonts w:ascii="Calibri" w:hAnsi="Calibri"/>
          <w:color w:val="000000"/>
          <w:sz w:val="20"/>
          <w:szCs w:val="20"/>
          <w:lang w:val="en-AU"/>
        </w:rPr>
        <w:t xml:space="preserve"> </w:t>
      </w:r>
      <w:r w:rsidR="0047677D">
        <w:rPr>
          <w:rFonts w:ascii="Calibri" w:hAnsi="Calibri"/>
          <w:color w:val="000000"/>
          <w:sz w:val="20"/>
          <w:szCs w:val="20"/>
          <w:lang w:val="en-AU"/>
        </w:rPr>
        <w:t>carried out by</w:t>
      </w:r>
      <w:r w:rsidR="00AA251E">
        <w:rPr>
          <w:rFonts w:ascii="Calibri" w:hAnsi="Calibri"/>
          <w:color w:val="000000"/>
          <w:sz w:val="20"/>
          <w:szCs w:val="20"/>
          <w:lang w:val="en-AU"/>
        </w:rPr>
        <w:t xml:space="preserve"> the University of Melbourne on the emergence of public sector innovation units across Australia and New Zealand</w:t>
      </w:r>
      <w:r w:rsidR="00263AD3">
        <w:rPr>
          <w:rStyle w:val="FootnoteReference"/>
          <w:rFonts w:ascii="Calibri" w:hAnsi="Calibri"/>
          <w:color w:val="000000"/>
          <w:sz w:val="20"/>
          <w:szCs w:val="20"/>
          <w:lang w:val="en-AU"/>
        </w:rPr>
        <w:footnoteReference w:id="1"/>
      </w:r>
      <w:r w:rsidR="00AA251E">
        <w:rPr>
          <w:rFonts w:ascii="Calibri" w:hAnsi="Calibri"/>
          <w:color w:val="000000"/>
          <w:sz w:val="20"/>
          <w:szCs w:val="20"/>
          <w:lang w:val="en-AU"/>
        </w:rPr>
        <w:t xml:space="preserve"> </w:t>
      </w:r>
      <w:r w:rsidR="0047677D">
        <w:rPr>
          <w:rFonts w:ascii="Calibri" w:hAnsi="Calibri"/>
          <w:color w:val="000000"/>
          <w:sz w:val="20"/>
          <w:szCs w:val="20"/>
          <w:lang w:val="en-AU"/>
        </w:rPr>
        <w:t>identified 26 Government-based and 23 independent labs in A</w:t>
      </w:r>
      <w:r w:rsidR="003432C2">
        <w:rPr>
          <w:rFonts w:ascii="Calibri" w:hAnsi="Calibri"/>
          <w:color w:val="000000"/>
          <w:sz w:val="20"/>
          <w:szCs w:val="20"/>
          <w:lang w:val="en-AU"/>
        </w:rPr>
        <w:t xml:space="preserve">ustralia and </w:t>
      </w:r>
      <w:r w:rsidR="0047677D">
        <w:rPr>
          <w:rFonts w:ascii="Calibri" w:hAnsi="Calibri"/>
          <w:color w:val="000000"/>
          <w:sz w:val="20"/>
          <w:szCs w:val="20"/>
          <w:lang w:val="en-AU"/>
        </w:rPr>
        <w:t>N</w:t>
      </w:r>
      <w:r w:rsidR="003432C2">
        <w:rPr>
          <w:rFonts w:ascii="Calibri" w:hAnsi="Calibri"/>
          <w:color w:val="000000"/>
          <w:sz w:val="20"/>
          <w:szCs w:val="20"/>
          <w:lang w:val="en-AU"/>
        </w:rPr>
        <w:t xml:space="preserve">ew </w:t>
      </w:r>
      <w:r w:rsidR="0047677D">
        <w:rPr>
          <w:rFonts w:ascii="Calibri" w:hAnsi="Calibri"/>
          <w:color w:val="000000"/>
          <w:sz w:val="20"/>
          <w:szCs w:val="20"/>
          <w:lang w:val="en-AU"/>
        </w:rPr>
        <w:t>Z</w:t>
      </w:r>
      <w:r w:rsidR="003432C2">
        <w:rPr>
          <w:rFonts w:ascii="Calibri" w:hAnsi="Calibri"/>
          <w:color w:val="000000"/>
          <w:sz w:val="20"/>
          <w:szCs w:val="20"/>
          <w:lang w:val="en-AU"/>
        </w:rPr>
        <w:t>ealand</w:t>
      </w:r>
      <w:r w:rsidR="0047677D">
        <w:rPr>
          <w:rFonts w:ascii="Calibri" w:hAnsi="Calibri"/>
          <w:color w:val="000000"/>
          <w:sz w:val="20"/>
          <w:szCs w:val="20"/>
          <w:lang w:val="en-AU"/>
        </w:rPr>
        <w:t xml:space="preserve"> alone. Over 75% of those embedded in government bodies – including the iXc – had been established in the three years up to February 2018. </w:t>
      </w:r>
      <w:r w:rsidR="00E726E6">
        <w:rPr>
          <w:rFonts w:ascii="Calibri" w:hAnsi="Calibri"/>
          <w:color w:val="000000"/>
          <w:sz w:val="20"/>
          <w:szCs w:val="20"/>
          <w:lang w:val="en-AU"/>
        </w:rPr>
        <w:t>Although the iXc was established with a slightly smaller full-time employee quotient (12 FTE versus a mean of 14.5 FTE as document</w:t>
      </w:r>
      <w:r w:rsidR="00CF5343">
        <w:rPr>
          <w:rFonts w:ascii="Calibri" w:hAnsi="Calibri"/>
          <w:color w:val="000000"/>
          <w:sz w:val="20"/>
          <w:szCs w:val="20"/>
          <w:lang w:val="en-AU"/>
        </w:rPr>
        <w:t>ed</w:t>
      </w:r>
      <w:r w:rsidR="00E726E6">
        <w:rPr>
          <w:rFonts w:ascii="Calibri" w:hAnsi="Calibri"/>
          <w:color w:val="000000"/>
          <w:sz w:val="20"/>
          <w:szCs w:val="20"/>
          <w:lang w:val="en-AU"/>
        </w:rPr>
        <w:t xml:space="preserve"> in the University of Melbourne analysis),</w:t>
      </w:r>
      <w:r w:rsidR="0082793B">
        <w:rPr>
          <w:rFonts w:ascii="Calibri" w:hAnsi="Calibri"/>
          <w:color w:val="000000"/>
          <w:sz w:val="20"/>
          <w:szCs w:val="20"/>
          <w:lang w:val="en-AU"/>
        </w:rPr>
        <w:t xml:space="preserve"> </w:t>
      </w:r>
      <w:r w:rsidR="00E726E6">
        <w:rPr>
          <w:rFonts w:ascii="Calibri" w:hAnsi="Calibri"/>
          <w:color w:val="000000"/>
          <w:sz w:val="20"/>
          <w:szCs w:val="20"/>
          <w:lang w:val="en-AU"/>
        </w:rPr>
        <w:t>its</w:t>
      </w:r>
      <w:r w:rsidR="0082793B">
        <w:rPr>
          <w:rFonts w:ascii="Calibri" w:hAnsi="Calibri"/>
          <w:color w:val="000000"/>
          <w:sz w:val="20"/>
          <w:szCs w:val="20"/>
          <w:lang w:val="en-AU"/>
        </w:rPr>
        <w:t xml:space="preserve"> </w:t>
      </w:r>
      <w:r w:rsidR="00E726E6">
        <w:rPr>
          <w:rFonts w:ascii="Calibri" w:hAnsi="Calibri"/>
          <w:color w:val="000000"/>
          <w:sz w:val="20"/>
          <w:szCs w:val="20"/>
          <w:lang w:val="en-AU"/>
        </w:rPr>
        <w:t xml:space="preserve">initial </w:t>
      </w:r>
      <w:r w:rsidR="00C9156F">
        <w:rPr>
          <w:rFonts w:ascii="Calibri" w:hAnsi="Calibri"/>
          <w:color w:val="000000"/>
          <w:sz w:val="20"/>
          <w:szCs w:val="20"/>
          <w:lang w:val="en-AU"/>
        </w:rPr>
        <w:t>organization</w:t>
      </w:r>
      <w:r w:rsidR="00354772">
        <w:rPr>
          <w:rFonts w:ascii="Calibri" w:hAnsi="Calibri"/>
          <w:color w:val="000000"/>
          <w:sz w:val="20"/>
          <w:szCs w:val="20"/>
          <w:lang w:val="en-AU"/>
        </w:rPr>
        <w:t>al</w:t>
      </w:r>
      <w:r w:rsidR="00C9156F">
        <w:rPr>
          <w:rFonts w:ascii="Calibri" w:hAnsi="Calibri"/>
          <w:color w:val="000000"/>
          <w:sz w:val="20"/>
          <w:szCs w:val="20"/>
          <w:lang w:val="en-AU"/>
        </w:rPr>
        <w:t xml:space="preserve"> structure and </w:t>
      </w:r>
      <w:r w:rsidR="0082793B">
        <w:rPr>
          <w:rFonts w:ascii="Calibri" w:hAnsi="Calibri"/>
          <w:color w:val="000000"/>
          <w:sz w:val="20"/>
          <w:szCs w:val="20"/>
          <w:lang w:val="en-AU"/>
        </w:rPr>
        <w:t xml:space="preserve">operating model </w:t>
      </w:r>
      <w:r w:rsidR="00E726E6">
        <w:rPr>
          <w:rFonts w:ascii="Calibri" w:hAnsi="Calibri"/>
          <w:color w:val="000000"/>
          <w:sz w:val="20"/>
          <w:szCs w:val="20"/>
          <w:lang w:val="en-AU"/>
        </w:rPr>
        <w:t>were</w:t>
      </w:r>
      <w:r w:rsidR="0082793B">
        <w:rPr>
          <w:rFonts w:ascii="Calibri" w:hAnsi="Calibri"/>
          <w:color w:val="000000"/>
          <w:sz w:val="20"/>
          <w:szCs w:val="20"/>
          <w:lang w:val="en-AU"/>
        </w:rPr>
        <w:t xml:space="preserve"> </w:t>
      </w:r>
      <w:r w:rsidR="00E726E6">
        <w:rPr>
          <w:rFonts w:ascii="Calibri" w:hAnsi="Calibri"/>
          <w:color w:val="000000"/>
          <w:sz w:val="20"/>
          <w:szCs w:val="20"/>
          <w:lang w:val="en-AU"/>
        </w:rPr>
        <w:t xml:space="preserve">generally </w:t>
      </w:r>
      <w:r w:rsidR="0082793B">
        <w:rPr>
          <w:rFonts w:ascii="Calibri" w:hAnsi="Calibri"/>
          <w:color w:val="000000"/>
          <w:sz w:val="20"/>
          <w:szCs w:val="20"/>
          <w:lang w:val="en-AU"/>
        </w:rPr>
        <w:t>consistent with other labs in the regional innovation community in terms of</w:t>
      </w:r>
      <w:r w:rsidR="00852E73">
        <w:rPr>
          <w:rFonts w:ascii="Calibri" w:hAnsi="Calibri"/>
          <w:color w:val="000000"/>
          <w:sz w:val="20"/>
          <w:szCs w:val="20"/>
          <w:lang w:val="en-AU"/>
        </w:rPr>
        <w:t>:</w:t>
      </w:r>
      <w:r w:rsidR="00C9156F">
        <w:rPr>
          <w:rFonts w:ascii="Calibri" w:hAnsi="Calibri"/>
          <w:color w:val="000000"/>
          <w:sz w:val="20"/>
          <w:szCs w:val="20"/>
          <w:lang w:val="en-AU"/>
        </w:rPr>
        <w:t xml:space="preserve"> i)</w:t>
      </w:r>
      <w:r w:rsidR="0082793B">
        <w:rPr>
          <w:rFonts w:ascii="Calibri" w:hAnsi="Calibri"/>
          <w:color w:val="000000"/>
          <w:sz w:val="20"/>
          <w:szCs w:val="20"/>
          <w:lang w:val="en-AU"/>
        </w:rPr>
        <w:t xml:space="preserve"> </w:t>
      </w:r>
      <w:r w:rsidR="00C8051C">
        <w:rPr>
          <w:rFonts w:ascii="Calibri" w:hAnsi="Calibri"/>
          <w:color w:val="000000"/>
          <w:sz w:val="20"/>
          <w:szCs w:val="20"/>
          <w:lang w:val="en-AU"/>
        </w:rPr>
        <w:t>team</w:t>
      </w:r>
      <w:r w:rsidR="00C9156F">
        <w:rPr>
          <w:rFonts w:ascii="Calibri" w:hAnsi="Calibri"/>
          <w:color w:val="000000"/>
          <w:sz w:val="20"/>
          <w:szCs w:val="20"/>
          <w:lang w:val="en-AU"/>
        </w:rPr>
        <w:t xml:space="preserve"> composition being weighted towards those with public sector backgrounds; </w:t>
      </w:r>
      <w:r w:rsidR="00C8051C">
        <w:rPr>
          <w:rFonts w:ascii="Calibri" w:hAnsi="Calibri"/>
          <w:color w:val="000000"/>
          <w:sz w:val="20"/>
          <w:szCs w:val="20"/>
          <w:lang w:val="en-AU"/>
        </w:rPr>
        <w:t xml:space="preserve">and </w:t>
      </w:r>
      <w:r w:rsidR="00C9156F">
        <w:rPr>
          <w:rFonts w:ascii="Calibri" w:hAnsi="Calibri"/>
          <w:color w:val="000000"/>
          <w:sz w:val="20"/>
          <w:szCs w:val="20"/>
          <w:lang w:val="en-AU"/>
        </w:rPr>
        <w:t xml:space="preserve">ii) </w:t>
      </w:r>
      <w:r w:rsidR="003F0A28">
        <w:rPr>
          <w:rFonts w:ascii="Calibri" w:hAnsi="Calibri"/>
          <w:color w:val="000000"/>
          <w:sz w:val="20"/>
          <w:szCs w:val="20"/>
          <w:lang w:val="en-AU"/>
        </w:rPr>
        <w:t xml:space="preserve">being funded </w:t>
      </w:r>
      <w:r w:rsidR="004A05D6">
        <w:rPr>
          <w:rFonts w:ascii="Calibri" w:hAnsi="Calibri"/>
          <w:color w:val="000000"/>
          <w:sz w:val="20"/>
          <w:szCs w:val="20"/>
          <w:lang w:val="en-AU"/>
        </w:rPr>
        <w:t>through</w:t>
      </w:r>
      <w:r w:rsidR="003F0A28">
        <w:rPr>
          <w:rFonts w:ascii="Calibri" w:hAnsi="Calibri"/>
          <w:color w:val="000000"/>
          <w:sz w:val="20"/>
          <w:szCs w:val="20"/>
          <w:lang w:val="en-AU"/>
        </w:rPr>
        <w:t xml:space="preserve"> a ‘sponsorship model’ by a host department, rather than a cost-recovery or commercial model</w:t>
      </w:r>
      <w:r w:rsidR="00C8051C">
        <w:rPr>
          <w:rFonts w:ascii="Calibri" w:hAnsi="Calibri"/>
          <w:color w:val="000000"/>
          <w:sz w:val="20"/>
          <w:szCs w:val="20"/>
          <w:lang w:val="en-AU"/>
        </w:rPr>
        <w:t>.</w:t>
      </w:r>
      <w:r w:rsidR="00C9156F">
        <w:rPr>
          <w:rFonts w:ascii="Calibri" w:hAnsi="Calibri"/>
          <w:color w:val="000000"/>
          <w:sz w:val="20"/>
          <w:szCs w:val="20"/>
          <w:lang w:val="en-AU"/>
        </w:rPr>
        <w:t xml:space="preserve"> </w:t>
      </w:r>
    </w:p>
    <w:p w14:paraId="33BBF321" w14:textId="43ECCFB3" w:rsidR="004D3415" w:rsidRDefault="00F8646C" w:rsidP="001F2786">
      <w:pPr>
        <w:spacing w:after="80"/>
        <w:jc w:val="both"/>
        <w:rPr>
          <w:rFonts w:ascii="Calibri" w:hAnsi="Calibri"/>
          <w:color w:val="000000"/>
          <w:sz w:val="20"/>
          <w:szCs w:val="20"/>
          <w:lang w:val="en-AU"/>
        </w:rPr>
      </w:pPr>
      <w:r>
        <w:rPr>
          <w:rFonts w:ascii="Calibri" w:hAnsi="Calibri"/>
          <w:color w:val="000000"/>
          <w:sz w:val="20"/>
          <w:szCs w:val="20"/>
        </w:rPr>
        <w:t xml:space="preserve">That the iXc team successfully launched the </w:t>
      </w:r>
      <w:r w:rsidR="00BA4AAB">
        <w:rPr>
          <w:rFonts w:ascii="Calibri" w:hAnsi="Calibri"/>
          <w:color w:val="000000"/>
          <w:sz w:val="20"/>
          <w:szCs w:val="20"/>
        </w:rPr>
        <w:t xml:space="preserve">unit </w:t>
      </w:r>
      <w:r>
        <w:rPr>
          <w:rFonts w:ascii="Calibri" w:hAnsi="Calibri"/>
          <w:color w:val="000000"/>
          <w:sz w:val="20"/>
          <w:szCs w:val="20"/>
        </w:rPr>
        <w:t xml:space="preserve">and </w:t>
      </w:r>
      <w:r w:rsidRPr="00F8646C">
        <w:rPr>
          <w:rFonts w:ascii="Calibri" w:hAnsi="Calibri"/>
          <w:color w:val="000000"/>
          <w:sz w:val="20"/>
          <w:szCs w:val="20"/>
        </w:rPr>
        <w:t xml:space="preserve">met </w:t>
      </w:r>
      <w:r>
        <w:rPr>
          <w:rFonts w:ascii="Calibri" w:hAnsi="Calibri"/>
          <w:color w:val="000000"/>
          <w:sz w:val="20"/>
          <w:szCs w:val="20"/>
        </w:rPr>
        <w:t>its</w:t>
      </w:r>
      <w:r w:rsidRPr="00F8646C">
        <w:rPr>
          <w:rFonts w:ascii="Calibri" w:hAnsi="Calibri"/>
          <w:color w:val="000000"/>
          <w:sz w:val="20"/>
          <w:szCs w:val="20"/>
        </w:rPr>
        <w:t xml:space="preserve"> spending requirements</w:t>
      </w:r>
      <w:r w:rsidR="007D6338">
        <w:rPr>
          <w:rFonts w:ascii="Calibri" w:hAnsi="Calibri"/>
          <w:color w:val="000000"/>
          <w:sz w:val="20"/>
          <w:szCs w:val="20"/>
        </w:rPr>
        <w:t xml:space="preserve"> should not go unrecognized</w:t>
      </w:r>
      <w:r w:rsidR="00E43D2E">
        <w:rPr>
          <w:rFonts w:ascii="Calibri" w:hAnsi="Calibri"/>
          <w:color w:val="000000"/>
          <w:sz w:val="20"/>
          <w:szCs w:val="20"/>
        </w:rPr>
        <w:t>; these were significant achievements</w:t>
      </w:r>
      <w:r w:rsidR="00E726E6">
        <w:rPr>
          <w:rFonts w:ascii="Calibri" w:hAnsi="Calibri"/>
          <w:color w:val="000000"/>
          <w:sz w:val="20"/>
          <w:szCs w:val="20"/>
        </w:rPr>
        <w:t xml:space="preserve"> for a smaller than average team</w:t>
      </w:r>
      <w:r w:rsidR="00581A87">
        <w:rPr>
          <w:rFonts w:ascii="Calibri" w:hAnsi="Calibri"/>
          <w:color w:val="000000"/>
          <w:sz w:val="20"/>
          <w:szCs w:val="20"/>
        </w:rPr>
        <w:t xml:space="preserve"> that was pioneering an unusual approach sitting outside of DFAT’s policy and geographic divisions</w:t>
      </w:r>
      <w:r w:rsidR="00E43D2E">
        <w:rPr>
          <w:rFonts w:ascii="Calibri" w:hAnsi="Calibri"/>
          <w:color w:val="000000"/>
          <w:sz w:val="20"/>
          <w:szCs w:val="20"/>
        </w:rPr>
        <w:t>.</w:t>
      </w:r>
      <w:r>
        <w:rPr>
          <w:rFonts w:ascii="Calibri" w:hAnsi="Calibri"/>
          <w:color w:val="000000"/>
          <w:sz w:val="20"/>
          <w:szCs w:val="20"/>
        </w:rPr>
        <w:t xml:space="preserve"> However, </w:t>
      </w:r>
      <w:r>
        <w:rPr>
          <w:rFonts w:ascii="Calibri" w:hAnsi="Calibri"/>
          <w:color w:val="000000"/>
          <w:sz w:val="20"/>
          <w:szCs w:val="20"/>
          <w:lang w:val="en-AU"/>
        </w:rPr>
        <w:t>a</w:t>
      </w:r>
      <w:r w:rsidR="00AF2579" w:rsidRPr="009D32C8">
        <w:rPr>
          <w:rFonts w:ascii="Calibri" w:hAnsi="Calibri"/>
          <w:color w:val="000000"/>
          <w:sz w:val="20"/>
          <w:szCs w:val="20"/>
          <w:lang w:val="en-AU"/>
        </w:rPr>
        <w:t xml:space="preserve">s with </w:t>
      </w:r>
      <w:r w:rsidR="00AF2579">
        <w:rPr>
          <w:rFonts w:ascii="Calibri" w:hAnsi="Calibri"/>
          <w:color w:val="000000"/>
          <w:sz w:val="20"/>
          <w:szCs w:val="20"/>
          <w:lang w:val="en-AU"/>
        </w:rPr>
        <w:t>many</w:t>
      </w:r>
      <w:r w:rsidR="00AF2579" w:rsidRPr="009D32C8">
        <w:rPr>
          <w:rFonts w:ascii="Calibri" w:hAnsi="Calibri"/>
          <w:color w:val="000000"/>
          <w:sz w:val="20"/>
          <w:szCs w:val="20"/>
          <w:lang w:val="en-AU"/>
        </w:rPr>
        <w:t xml:space="preserve"> newly-established innovation labs, the iXc </w:t>
      </w:r>
      <w:r w:rsidR="0054525E">
        <w:rPr>
          <w:rFonts w:ascii="Calibri" w:hAnsi="Calibri"/>
          <w:color w:val="000000"/>
          <w:sz w:val="20"/>
          <w:szCs w:val="20"/>
          <w:lang w:val="en-AU"/>
        </w:rPr>
        <w:t xml:space="preserve">also </w:t>
      </w:r>
      <w:r w:rsidR="00AF2579" w:rsidRPr="009D32C8">
        <w:rPr>
          <w:rFonts w:ascii="Calibri" w:hAnsi="Calibri"/>
          <w:color w:val="000000"/>
          <w:sz w:val="20"/>
          <w:szCs w:val="20"/>
          <w:lang w:val="en-AU"/>
        </w:rPr>
        <w:t xml:space="preserve">faced a number of challenges </w:t>
      </w:r>
      <w:r w:rsidR="00E726E6">
        <w:rPr>
          <w:rFonts w:ascii="Calibri" w:hAnsi="Calibri"/>
          <w:color w:val="000000"/>
          <w:sz w:val="20"/>
          <w:szCs w:val="20"/>
          <w:lang w:val="en-AU"/>
        </w:rPr>
        <w:t>during</w:t>
      </w:r>
      <w:r w:rsidR="00E726E6" w:rsidRPr="009D32C8">
        <w:rPr>
          <w:rFonts w:ascii="Calibri" w:hAnsi="Calibri"/>
          <w:color w:val="000000"/>
          <w:sz w:val="20"/>
          <w:szCs w:val="20"/>
          <w:lang w:val="en-AU"/>
        </w:rPr>
        <w:t xml:space="preserve"> </w:t>
      </w:r>
      <w:r w:rsidR="004F7037">
        <w:rPr>
          <w:rFonts w:ascii="Calibri" w:hAnsi="Calibri"/>
          <w:color w:val="000000"/>
          <w:sz w:val="20"/>
          <w:szCs w:val="20"/>
          <w:lang w:val="en-AU"/>
        </w:rPr>
        <w:t>its</w:t>
      </w:r>
      <w:r w:rsidR="00AF2579" w:rsidRPr="009D32C8">
        <w:rPr>
          <w:rFonts w:ascii="Calibri" w:hAnsi="Calibri"/>
          <w:color w:val="000000"/>
          <w:sz w:val="20"/>
          <w:szCs w:val="20"/>
          <w:lang w:val="en-AU"/>
        </w:rPr>
        <w:t xml:space="preserve"> first three years.</w:t>
      </w:r>
    </w:p>
    <w:p w14:paraId="3C5DEF53" w14:textId="1EAAFB7A" w:rsidR="00AF2579" w:rsidRPr="00AF2579" w:rsidRDefault="002D2E9A" w:rsidP="009349B6">
      <w:pPr>
        <w:pStyle w:val="ListParagraph"/>
        <w:numPr>
          <w:ilvl w:val="0"/>
          <w:numId w:val="8"/>
        </w:numPr>
        <w:spacing w:before="0" w:beforeAutospacing="0"/>
        <w:jc w:val="both"/>
        <w:rPr>
          <w:rFonts w:ascii="Calibri" w:hAnsi="Calibri"/>
          <w:color w:val="000000"/>
          <w:sz w:val="20"/>
          <w:szCs w:val="20"/>
          <w:lang w:val="en-AU"/>
        </w:rPr>
      </w:pPr>
      <w:r>
        <w:rPr>
          <w:rFonts w:ascii="Calibri" w:hAnsi="Calibri"/>
          <w:b/>
          <w:color w:val="000000"/>
          <w:sz w:val="20"/>
          <w:szCs w:val="20"/>
          <w:lang w:val="en-AU"/>
        </w:rPr>
        <w:t>Staffing</w:t>
      </w:r>
      <w:r w:rsidR="00AF2579" w:rsidRPr="00AF2579">
        <w:rPr>
          <w:rFonts w:ascii="Calibri" w:hAnsi="Calibri"/>
          <w:b/>
          <w:color w:val="000000"/>
          <w:sz w:val="20"/>
          <w:szCs w:val="20"/>
          <w:lang w:val="en-AU"/>
        </w:rPr>
        <w:t>:</w:t>
      </w:r>
      <w:r w:rsidR="00AF2579" w:rsidRPr="00AF2579">
        <w:rPr>
          <w:rFonts w:ascii="Calibri" w:hAnsi="Calibri"/>
          <w:color w:val="000000"/>
          <w:sz w:val="20"/>
          <w:szCs w:val="20"/>
          <w:lang w:val="en-AU"/>
        </w:rPr>
        <w:t xml:space="preserve"> </w:t>
      </w:r>
      <w:r w:rsidR="008B2D44">
        <w:rPr>
          <w:rFonts w:ascii="Calibri" w:hAnsi="Calibri"/>
          <w:color w:val="000000"/>
          <w:sz w:val="20"/>
          <w:szCs w:val="20"/>
          <w:lang w:val="en-AU"/>
        </w:rPr>
        <w:t xml:space="preserve">The iXc </w:t>
      </w:r>
      <w:r w:rsidR="0020367E">
        <w:rPr>
          <w:rFonts w:ascii="Calibri" w:hAnsi="Calibri"/>
          <w:color w:val="000000"/>
          <w:sz w:val="20"/>
          <w:szCs w:val="20"/>
          <w:lang w:val="en-AU"/>
        </w:rPr>
        <w:t>grew from a team of</w:t>
      </w:r>
      <w:r w:rsidR="008B2D44">
        <w:rPr>
          <w:rFonts w:ascii="Calibri" w:hAnsi="Calibri"/>
          <w:color w:val="000000"/>
          <w:sz w:val="20"/>
          <w:szCs w:val="20"/>
          <w:lang w:val="en-AU"/>
        </w:rPr>
        <w:t xml:space="preserve"> six </w:t>
      </w:r>
      <w:r w:rsidR="00C734C3">
        <w:rPr>
          <w:rFonts w:ascii="Calibri" w:hAnsi="Calibri"/>
          <w:color w:val="000000"/>
          <w:sz w:val="20"/>
          <w:szCs w:val="20"/>
          <w:lang w:val="en-AU"/>
        </w:rPr>
        <w:t>FTE</w:t>
      </w:r>
      <w:r w:rsidR="008B2D44">
        <w:rPr>
          <w:rFonts w:ascii="Calibri" w:hAnsi="Calibri"/>
          <w:color w:val="000000"/>
          <w:sz w:val="20"/>
          <w:szCs w:val="20"/>
          <w:lang w:val="en-AU"/>
        </w:rPr>
        <w:t xml:space="preserve"> </w:t>
      </w:r>
      <w:r w:rsidR="0020367E">
        <w:rPr>
          <w:rFonts w:ascii="Calibri" w:hAnsi="Calibri"/>
          <w:color w:val="000000"/>
          <w:sz w:val="20"/>
          <w:szCs w:val="20"/>
          <w:lang w:val="en-AU"/>
        </w:rPr>
        <w:t>to 12 FTE by the end of 2017</w:t>
      </w:r>
      <w:r w:rsidR="004A06E3">
        <w:rPr>
          <w:rFonts w:ascii="Calibri" w:hAnsi="Calibri"/>
          <w:color w:val="000000"/>
          <w:sz w:val="20"/>
          <w:szCs w:val="20"/>
          <w:lang w:val="en-AU"/>
        </w:rPr>
        <w:t>, and o</w:t>
      </w:r>
      <w:r w:rsidR="008B2D44">
        <w:rPr>
          <w:rFonts w:ascii="Calibri" w:hAnsi="Calibri"/>
          <w:color w:val="000000"/>
          <w:sz w:val="20"/>
          <w:szCs w:val="20"/>
          <w:lang w:val="en-AU"/>
        </w:rPr>
        <w:t xml:space="preserve">ver the course of its first three years engaged </w:t>
      </w:r>
      <w:r w:rsidR="004A06E3">
        <w:rPr>
          <w:rFonts w:ascii="Calibri" w:hAnsi="Calibri"/>
          <w:color w:val="000000"/>
          <w:sz w:val="20"/>
          <w:szCs w:val="20"/>
          <w:lang w:val="en-AU"/>
        </w:rPr>
        <w:t>a total of</w:t>
      </w:r>
      <w:r w:rsidR="008B2D44">
        <w:rPr>
          <w:rFonts w:ascii="Calibri" w:hAnsi="Calibri"/>
          <w:color w:val="000000"/>
          <w:sz w:val="20"/>
          <w:szCs w:val="20"/>
          <w:lang w:val="en-AU"/>
        </w:rPr>
        <w:t xml:space="preserve"> 40 people as either staff or contractors. While this was valuable in terms of </w:t>
      </w:r>
      <w:r w:rsidR="0020367E">
        <w:rPr>
          <w:rFonts w:ascii="Calibri" w:hAnsi="Calibri"/>
          <w:color w:val="000000"/>
          <w:sz w:val="20"/>
          <w:szCs w:val="20"/>
          <w:lang w:val="en-AU"/>
        </w:rPr>
        <w:lastRenderedPageBreak/>
        <w:t>bringing a variety of expertise into the iXc, staff turnover and rotation led to</w:t>
      </w:r>
      <w:r w:rsidR="0020367E" w:rsidRPr="00AF2579">
        <w:rPr>
          <w:rFonts w:ascii="Calibri" w:hAnsi="Calibri"/>
          <w:color w:val="000000"/>
          <w:sz w:val="20"/>
          <w:szCs w:val="20"/>
          <w:lang w:val="en-AU"/>
        </w:rPr>
        <w:t xml:space="preserve"> a lack of continuity at both the leadership and programmatic levels</w:t>
      </w:r>
      <w:r w:rsidR="0020367E">
        <w:rPr>
          <w:rFonts w:ascii="Calibri" w:hAnsi="Calibri"/>
          <w:color w:val="000000"/>
          <w:sz w:val="20"/>
          <w:szCs w:val="20"/>
          <w:lang w:val="en-AU"/>
        </w:rPr>
        <w:t>, which in turn undermined institutional learning</w:t>
      </w:r>
      <w:r w:rsidR="006971AB">
        <w:rPr>
          <w:rFonts w:ascii="Calibri" w:hAnsi="Calibri"/>
          <w:color w:val="000000"/>
          <w:sz w:val="20"/>
          <w:szCs w:val="20"/>
          <w:lang w:val="en-AU"/>
        </w:rPr>
        <w:t xml:space="preserve"> and relationship development.</w:t>
      </w:r>
    </w:p>
    <w:p w14:paraId="7AB31BB7" w14:textId="324724B6" w:rsidR="00AF2579" w:rsidRPr="005F5DEA" w:rsidRDefault="00AF2579" w:rsidP="009349B6">
      <w:pPr>
        <w:pStyle w:val="ListParagraph"/>
        <w:numPr>
          <w:ilvl w:val="0"/>
          <w:numId w:val="8"/>
        </w:numPr>
        <w:spacing w:after="80"/>
        <w:jc w:val="both"/>
        <w:rPr>
          <w:rFonts w:ascii="Calibri" w:hAnsi="Calibri"/>
          <w:color w:val="000000"/>
          <w:sz w:val="20"/>
          <w:szCs w:val="20"/>
          <w:lang w:val="en-AU"/>
        </w:rPr>
      </w:pPr>
      <w:r w:rsidRPr="005F5DEA">
        <w:rPr>
          <w:rFonts w:ascii="Calibri" w:hAnsi="Calibri"/>
          <w:b/>
          <w:color w:val="000000"/>
          <w:sz w:val="20"/>
          <w:szCs w:val="20"/>
          <w:lang w:val="en-AU"/>
        </w:rPr>
        <w:t>Relationships:</w:t>
      </w:r>
      <w:r w:rsidRPr="005F5DEA">
        <w:rPr>
          <w:rFonts w:ascii="Calibri" w:hAnsi="Calibri"/>
          <w:color w:val="000000"/>
          <w:sz w:val="20"/>
          <w:szCs w:val="20"/>
          <w:lang w:val="en-AU"/>
        </w:rPr>
        <w:t xml:space="preserve"> Establishing and maintaining </w:t>
      </w:r>
      <w:r w:rsidRPr="005F5DEA">
        <w:rPr>
          <w:rFonts w:ascii="Calibri" w:hAnsi="Calibri" w:cs="Calibri"/>
          <w:color w:val="000000"/>
          <w:sz w:val="20"/>
          <w:szCs w:val="20"/>
          <w:lang w:val="en-AU"/>
        </w:rPr>
        <w:t xml:space="preserve">relationships across DFAT and with staff at posts </w:t>
      </w:r>
      <w:r w:rsidR="001D7599" w:rsidRPr="005F5DEA">
        <w:rPr>
          <w:rFonts w:ascii="Calibri" w:hAnsi="Calibri" w:cs="Calibri"/>
          <w:color w:val="000000"/>
          <w:sz w:val="20"/>
          <w:szCs w:val="20"/>
          <w:lang w:val="en-AU"/>
        </w:rPr>
        <w:t xml:space="preserve">proved challenging, </w:t>
      </w:r>
      <w:r w:rsidRPr="005F5DEA">
        <w:rPr>
          <w:rFonts w:ascii="Calibri" w:hAnsi="Calibri" w:cs="Calibri"/>
          <w:color w:val="000000"/>
          <w:sz w:val="20"/>
          <w:szCs w:val="20"/>
          <w:lang w:val="en-AU"/>
        </w:rPr>
        <w:t>particularly given limited opportuni</w:t>
      </w:r>
      <w:r w:rsidR="00BB0D49" w:rsidRPr="005F5DEA">
        <w:rPr>
          <w:rFonts w:ascii="Calibri" w:hAnsi="Calibri" w:cs="Calibri"/>
          <w:color w:val="000000"/>
          <w:sz w:val="20"/>
          <w:szCs w:val="20"/>
          <w:lang w:val="en-AU"/>
        </w:rPr>
        <w:t>ties</w:t>
      </w:r>
      <w:r w:rsidR="001D7599" w:rsidRPr="005F5DEA">
        <w:rPr>
          <w:rFonts w:ascii="Calibri" w:hAnsi="Calibri" w:cs="Calibri"/>
          <w:color w:val="000000"/>
          <w:sz w:val="20"/>
          <w:szCs w:val="20"/>
          <w:lang w:val="en-AU"/>
        </w:rPr>
        <w:t xml:space="preserve"> for iXc staff</w:t>
      </w:r>
      <w:r w:rsidRPr="005F5DEA">
        <w:rPr>
          <w:rFonts w:ascii="Calibri" w:hAnsi="Calibri" w:cs="Calibri"/>
          <w:color w:val="000000"/>
          <w:sz w:val="20"/>
          <w:szCs w:val="20"/>
          <w:lang w:val="en-AU"/>
        </w:rPr>
        <w:t xml:space="preserve"> to </w:t>
      </w:r>
      <w:r w:rsidR="00BB0D49" w:rsidRPr="005F5DEA">
        <w:rPr>
          <w:rFonts w:ascii="Calibri" w:hAnsi="Calibri" w:cs="Calibri"/>
          <w:color w:val="000000"/>
          <w:sz w:val="20"/>
          <w:szCs w:val="20"/>
          <w:lang w:val="en-AU"/>
        </w:rPr>
        <w:t>travel to</w:t>
      </w:r>
      <w:r w:rsidRPr="005F5DEA">
        <w:rPr>
          <w:rFonts w:ascii="Calibri" w:hAnsi="Calibri" w:cs="Calibri"/>
          <w:color w:val="000000"/>
          <w:sz w:val="20"/>
          <w:szCs w:val="20"/>
          <w:lang w:val="en-AU"/>
        </w:rPr>
        <w:t xml:space="preserve"> </w:t>
      </w:r>
      <w:r w:rsidR="00BB0D49" w:rsidRPr="005F5DEA">
        <w:rPr>
          <w:rFonts w:ascii="Calibri" w:hAnsi="Calibri" w:cs="Calibri"/>
          <w:color w:val="000000"/>
          <w:sz w:val="20"/>
          <w:szCs w:val="20"/>
          <w:lang w:val="en-AU"/>
        </w:rPr>
        <w:t>p</w:t>
      </w:r>
      <w:r w:rsidRPr="005F5DEA">
        <w:rPr>
          <w:rFonts w:ascii="Calibri" w:hAnsi="Calibri" w:cs="Calibri"/>
          <w:color w:val="000000"/>
          <w:sz w:val="20"/>
          <w:szCs w:val="20"/>
          <w:lang w:val="en-AU"/>
        </w:rPr>
        <w:t>ost</w:t>
      </w:r>
      <w:r w:rsidR="00BB0D49" w:rsidRPr="005F5DEA">
        <w:rPr>
          <w:rFonts w:ascii="Calibri" w:hAnsi="Calibri" w:cs="Calibri"/>
          <w:color w:val="000000"/>
          <w:sz w:val="20"/>
          <w:szCs w:val="20"/>
          <w:lang w:val="en-AU"/>
        </w:rPr>
        <w:t xml:space="preserve"> locations</w:t>
      </w:r>
      <w:r w:rsidR="003851B3" w:rsidRPr="005F5DEA">
        <w:rPr>
          <w:rFonts w:ascii="Calibri" w:hAnsi="Calibri" w:cs="Calibri"/>
          <w:color w:val="000000"/>
          <w:sz w:val="20"/>
          <w:szCs w:val="20"/>
          <w:lang w:val="en-AU"/>
        </w:rPr>
        <w:t xml:space="preserve"> and a lack of clarity among other DFAT teams around the purpose </w:t>
      </w:r>
      <w:r w:rsidR="00334E34" w:rsidRPr="005F5DEA">
        <w:rPr>
          <w:rFonts w:ascii="Calibri" w:hAnsi="Calibri" w:cs="Calibri"/>
          <w:color w:val="000000"/>
          <w:sz w:val="20"/>
          <w:szCs w:val="20"/>
          <w:lang w:val="en-AU"/>
        </w:rPr>
        <w:t xml:space="preserve">of </w:t>
      </w:r>
      <w:r w:rsidR="003851B3" w:rsidRPr="005F5DEA">
        <w:rPr>
          <w:rFonts w:ascii="Calibri" w:hAnsi="Calibri" w:cs="Calibri"/>
          <w:color w:val="000000"/>
          <w:sz w:val="20"/>
          <w:szCs w:val="20"/>
          <w:lang w:val="en-AU"/>
        </w:rPr>
        <w:t>and interface with the iXc</w:t>
      </w:r>
      <w:r w:rsidR="003511E1" w:rsidRPr="005F5DEA">
        <w:rPr>
          <w:rFonts w:ascii="Calibri" w:hAnsi="Calibri" w:cs="Calibri"/>
          <w:color w:val="000000"/>
          <w:sz w:val="20"/>
          <w:szCs w:val="20"/>
          <w:lang w:val="en-AU"/>
        </w:rPr>
        <w:t>.</w:t>
      </w:r>
      <w:r w:rsidR="00F13464" w:rsidRPr="005F5DEA">
        <w:rPr>
          <w:rStyle w:val="FootnoteReference"/>
          <w:rFonts w:ascii="Calibri" w:hAnsi="Calibri" w:cs="Calibri"/>
          <w:color w:val="000000"/>
          <w:sz w:val="20"/>
          <w:szCs w:val="20"/>
          <w:lang w:val="en-AU"/>
        </w:rPr>
        <w:footnoteReference w:id="2"/>
      </w:r>
      <w:r w:rsidR="007A5C62" w:rsidRPr="005F5DEA">
        <w:rPr>
          <w:rFonts w:ascii="Calibri" w:hAnsi="Calibri" w:cs="Calibri"/>
          <w:sz w:val="20"/>
          <w:szCs w:val="20"/>
          <w:lang w:val="en-AU"/>
        </w:rPr>
        <w:t xml:space="preserve"> Externally</w:t>
      </w:r>
      <w:r w:rsidR="00EB4FCF" w:rsidRPr="005F5DEA">
        <w:rPr>
          <w:rFonts w:ascii="Calibri" w:hAnsi="Calibri" w:cs="Calibri"/>
          <w:sz w:val="20"/>
          <w:szCs w:val="20"/>
          <w:lang w:val="en-AU"/>
        </w:rPr>
        <w:t>,</w:t>
      </w:r>
      <w:r w:rsidR="007A5C62" w:rsidRPr="005F5DEA">
        <w:rPr>
          <w:rFonts w:ascii="Calibri" w:hAnsi="Calibri" w:cs="Calibri"/>
          <w:sz w:val="20"/>
          <w:szCs w:val="20"/>
          <w:lang w:val="en-AU"/>
        </w:rPr>
        <w:t xml:space="preserve"> the strong support of the former Foreign Minister was valuable in raising the lab’s profile and </w:t>
      </w:r>
      <w:r w:rsidR="001A2C42" w:rsidRPr="005F5DEA">
        <w:rPr>
          <w:rFonts w:ascii="Calibri" w:hAnsi="Calibri" w:cs="Calibri"/>
          <w:sz w:val="20"/>
          <w:szCs w:val="20"/>
          <w:lang w:val="en-AU"/>
        </w:rPr>
        <w:t>generating</w:t>
      </w:r>
      <w:r w:rsidR="007A5C62" w:rsidRPr="005F5DEA">
        <w:rPr>
          <w:rFonts w:ascii="Calibri" w:hAnsi="Calibri" w:cs="Calibri"/>
          <w:sz w:val="20"/>
          <w:szCs w:val="20"/>
          <w:lang w:val="en-AU"/>
        </w:rPr>
        <w:t xml:space="preserve"> interest in the private sector about the potential of working with DFAT on innovation.</w:t>
      </w:r>
      <w:r w:rsidR="007A5C62" w:rsidRPr="005F5DEA">
        <w:rPr>
          <w:sz w:val="20"/>
          <w:szCs w:val="20"/>
          <w:lang w:val="en-AU"/>
        </w:rPr>
        <w:t xml:space="preserve">  </w:t>
      </w:r>
    </w:p>
    <w:p w14:paraId="443B3025" w14:textId="7EEB35FF" w:rsidR="00AF2579" w:rsidRPr="006108C8" w:rsidRDefault="00AF2579" w:rsidP="009349B6">
      <w:pPr>
        <w:pStyle w:val="Default"/>
        <w:numPr>
          <w:ilvl w:val="0"/>
          <w:numId w:val="8"/>
        </w:numPr>
        <w:jc w:val="both"/>
        <w:rPr>
          <w:sz w:val="20"/>
          <w:szCs w:val="20"/>
          <w:lang w:val="en-AU"/>
        </w:rPr>
      </w:pPr>
      <w:r w:rsidRPr="006108C8">
        <w:rPr>
          <w:b/>
          <w:sz w:val="20"/>
          <w:szCs w:val="20"/>
          <w:lang w:val="en-AU"/>
        </w:rPr>
        <w:t>Bureaucracy:</w:t>
      </w:r>
      <w:r w:rsidRPr="006108C8">
        <w:rPr>
          <w:sz w:val="20"/>
          <w:szCs w:val="20"/>
          <w:lang w:val="en-AU"/>
        </w:rPr>
        <w:t xml:space="preserve"> Bureaucratic challenges</w:t>
      </w:r>
      <w:r w:rsidR="002331BA" w:rsidRPr="006108C8">
        <w:rPr>
          <w:sz w:val="20"/>
          <w:szCs w:val="20"/>
          <w:lang w:val="en-AU"/>
        </w:rPr>
        <w:t>,</w:t>
      </w:r>
      <w:r w:rsidRPr="006108C8">
        <w:rPr>
          <w:sz w:val="20"/>
          <w:szCs w:val="20"/>
          <w:lang w:val="en-AU"/>
        </w:rPr>
        <w:t xml:space="preserve"> </w:t>
      </w:r>
      <w:r w:rsidR="007A5C62" w:rsidRPr="006108C8">
        <w:rPr>
          <w:sz w:val="20"/>
          <w:szCs w:val="20"/>
          <w:lang w:val="en-AU"/>
        </w:rPr>
        <w:t xml:space="preserve">for example DFAT paperwork requirements </w:t>
      </w:r>
      <w:r w:rsidR="002331BA" w:rsidRPr="006108C8">
        <w:rPr>
          <w:sz w:val="20"/>
          <w:szCs w:val="20"/>
          <w:lang w:val="en-AU"/>
        </w:rPr>
        <w:t>(</w:t>
      </w:r>
      <w:r w:rsidR="007A5C62" w:rsidRPr="006108C8">
        <w:rPr>
          <w:sz w:val="20"/>
          <w:szCs w:val="20"/>
          <w:lang w:val="en-AU"/>
        </w:rPr>
        <w:t xml:space="preserve">which did not facilitate agile working) as well as delays </w:t>
      </w:r>
      <w:r w:rsidR="00666552" w:rsidRPr="006108C8">
        <w:rPr>
          <w:sz w:val="20"/>
          <w:szCs w:val="20"/>
          <w:lang w:val="en-AU"/>
        </w:rPr>
        <w:t>and</w:t>
      </w:r>
      <w:r w:rsidR="007A5C62" w:rsidRPr="006108C8">
        <w:rPr>
          <w:sz w:val="20"/>
          <w:szCs w:val="20"/>
          <w:lang w:val="en-AU"/>
        </w:rPr>
        <w:t xml:space="preserve"> a lack of clarity around decision-making and reporting standards</w:t>
      </w:r>
      <w:r w:rsidR="002331BA" w:rsidRPr="006108C8">
        <w:rPr>
          <w:sz w:val="20"/>
          <w:szCs w:val="20"/>
          <w:lang w:val="en-AU"/>
        </w:rPr>
        <w:t xml:space="preserve">, </w:t>
      </w:r>
      <w:r w:rsidRPr="006108C8">
        <w:rPr>
          <w:sz w:val="20"/>
          <w:szCs w:val="20"/>
          <w:lang w:val="en-AU"/>
        </w:rPr>
        <w:t xml:space="preserve">meant that iXc staff felt </w:t>
      </w:r>
      <w:r w:rsidR="00666552" w:rsidRPr="006108C8">
        <w:rPr>
          <w:sz w:val="20"/>
          <w:szCs w:val="20"/>
          <w:lang w:val="en-AU"/>
        </w:rPr>
        <w:t>it was difficult to</w:t>
      </w:r>
      <w:r w:rsidRPr="006108C8">
        <w:rPr>
          <w:sz w:val="20"/>
          <w:szCs w:val="20"/>
          <w:lang w:val="en-AU"/>
        </w:rPr>
        <w:t xml:space="preserve"> secur</w:t>
      </w:r>
      <w:r w:rsidR="00666552" w:rsidRPr="006108C8">
        <w:rPr>
          <w:sz w:val="20"/>
          <w:szCs w:val="20"/>
          <w:lang w:val="en-AU"/>
        </w:rPr>
        <w:t>e</w:t>
      </w:r>
      <w:r w:rsidRPr="006108C8">
        <w:rPr>
          <w:sz w:val="20"/>
          <w:szCs w:val="20"/>
          <w:lang w:val="en-AU"/>
        </w:rPr>
        <w:t xml:space="preserve"> DFAT buy-in for work</w:t>
      </w:r>
      <w:r w:rsidR="007A5C62" w:rsidRPr="006108C8">
        <w:rPr>
          <w:sz w:val="20"/>
          <w:szCs w:val="20"/>
          <w:lang w:val="en-AU"/>
        </w:rPr>
        <w:t xml:space="preserve"> and demonstrat</w:t>
      </w:r>
      <w:r w:rsidR="009F2FF3" w:rsidRPr="006108C8">
        <w:rPr>
          <w:sz w:val="20"/>
          <w:szCs w:val="20"/>
          <w:lang w:val="en-AU"/>
        </w:rPr>
        <w:t>e that</w:t>
      </w:r>
      <w:r w:rsidR="007A5C62" w:rsidRPr="006108C8">
        <w:rPr>
          <w:sz w:val="20"/>
          <w:szCs w:val="20"/>
          <w:lang w:val="en-AU"/>
        </w:rPr>
        <w:t xml:space="preserve"> they were working in more agile and flexible ways</w:t>
      </w:r>
      <w:r w:rsidRPr="006108C8">
        <w:rPr>
          <w:sz w:val="20"/>
          <w:szCs w:val="20"/>
          <w:lang w:val="en-AU"/>
        </w:rPr>
        <w:t xml:space="preserve">. </w:t>
      </w:r>
      <w:r w:rsidR="00876C4F" w:rsidRPr="006108C8">
        <w:rPr>
          <w:sz w:val="20"/>
          <w:szCs w:val="20"/>
          <w:lang w:val="en-AU"/>
        </w:rPr>
        <w:t xml:space="preserve"> </w:t>
      </w:r>
    </w:p>
    <w:p w14:paraId="2F5B620A" w14:textId="2652C6C9" w:rsidR="00222AD1" w:rsidRPr="00F2496F" w:rsidRDefault="00AF2579" w:rsidP="009349B6">
      <w:pPr>
        <w:pStyle w:val="ListParagraph"/>
        <w:numPr>
          <w:ilvl w:val="0"/>
          <w:numId w:val="8"/>
        </w:numPr>
        <w:spacing w:after="80" w:afterAutospacing="0"/>
        <w:jc w:val="both"/>
        <w:rPr>
          <w:rFonts w:ascii="Calibri" w:hAnsi="Calibri"/>
          <w:color w:val="000000"/>
          <w:sz w:val="20"/>
          <w:szCs w:val="20"/>
          <w:lang w:val="en-AU"/>
        </w:rPr>
      </w:pPr>
      <w:r w:rsidRPr="00F2496F">
        <w:rPr>
          <w:rFonts w:ascii="Calibri" w:hAnsi="Calibri"/>
          <w:b/>
          <w:color w:val="000000"/>
          <w:sz w:val="20"/>
          <w:szCs w:val="20"/>
          <w:lang w:val="en-AU"/>
        </w:rPr>
        <w:t>Knowledge management:</w:t>
      </w:r>
      <w:r w:rsidRPr="00F2496F">
        <w:rPr>
          <w:rFonts w:ascii="Calibri" w:hAnsi="Calibri"/>
          <w:color w:val="000000"/>
          <w:sz w:val="20"/>
          <w:szCs w:val="20"/>
          <w:lang w:val="en-AU"/>
        </w:rPr>
        <w:t xml:space="preserve"> </w:t>
      </w:r>
      <w:r w:rsidR="00BC73A8">
        <w:rPr>
          <w:rFonts w:ascii="Calibri" w:hAnsi="Calibri"/>
          <w:color w:val="000000"/>
          <w:sz w:val="20"/>
          <w:szCs w:val="20"/>
          <w:lang w:val="en-AU"/>
        </w:rPr>
        <w:t>At the outset, t</w:t>
      </w:r>
      <w:r w:rsidRPr="00F2496F">
        <w:rPr>
          <w:rFonts w:ascii="Calibri" w:hAnsi="Calibri"/>
          <w:color w:val="000000"/>
          <w:sz w:val="20"/>
          <w:szCs w:val="20"/>
          <w:lang w:val="en-AU"/>
        </w:rPr>
        <w:t>he iXc lacked comprehensive knowledge management and monitoring and evaluation systems</w:t>
      </w:r>
      <w:r w:rsidR="00C20B1E">
        <w:rPr>
          <w:rFonts w:ascii="Calibri" w:hAnsi="Calibri"/>
          <w:color w:val="000000"/>
          <w:sz w:val="20"/>
          <w:szCs w:val="20"/>
          <w:lang w:val="en-AU"/>
        </w:rPr>
        <w:t>. T</w:t>
      </w:r>
      <w:r w:rsidRPr="00F2496F">
        <w:rPr>
          <w:rFonts w:ascii="Calibri" w:hAnsi="Calibri"/>
          <w:color w:val="000000"/>
          <w:sz w:val="20"/>
          <w:szCs w:val="20"/>
          <w:lang w:val="en-AU"/>
        </w:rPr>
        <w:t>his limited their ability to document successes, challenges, and learning over time</w:t>
      </w:r>
      <w:r w:rsidR="00BC73A8">
        <w:rPr>
          <w:rFonts w:ascii="Calibri" w:hAnsi="Calibri"/>
          <w:color w:val="000000"/>
          <w:sz w:val="20"/>
          <w:szCs w:val="20"/>
          <w:lang w:val="en-AU"/>
        </w:rPr>
        <w:t xml:space="preserve">, although </w:t>
      </w:r>
      <w:r w:rsidR="004570CD">
        <w:rPr>
          <w:rFonts w:ascii="Calibri" w:hAnsi="Calibri"/>
          <w:color w:val="000000"/>
          <w:sz w:val="20"/>
          <w:szCs w:val="20"/>
          <w:lang w:val="en-AU"/>
        </w:rPr>
        <w:t>approaches</w:t>
      </w:r>
      <w:r w:rsidR="00BC73A8">
        <w:rPr>
          <w:rFonts w:ascii="Calibri" w:hAnsi="Calibri"/>
          <w:color w:val="000000"/>
          <w:sz w:val="20"/>
          <w:szCs w:val="20"/>
          <w:lang w:val="en-AU"/>
        </w:rPr>
        <w:t xml:space="preserve"> were </w:t>
      </w:r>
      <w:r w:rsidR="00B342B8">
        <w:rPr>
          <w:rFonts w:ascii="Calibri" w:hAnsi="Calibri"/>
          <w:color w:val="000000"/>
          <w:sz w:val="20"/>
          <w:szCs w:val="20"/>
          <w:lang w:val="en-AU"/>
        </w:rPr>
        <w:t xml:space="preserve">gradually </w:t>
      </w:r>
      <w:r w:rsidR="00BC73A8">
        <w:rPr>
          <w:rFonts w:ascii="Calibri" w:hAnsi="Calibri"/>
          <w:color w:val="000000"/>
          <w:sz w:val="20"/>
          <w:szCs w:val="20"/>
          <w:lang w:val="en-AU"/>
        </w:rPr>
        <w:t>put in place to remedy the situation</w:t>
      </w:r>
      <w:r w:rsidR="00B342B8">
        <w:rPr>
          <w:rFonts w:ascii="Calibri" w:hAnsi="Calibri"/>
          <w:color w:val="000000"/>
          <w:sz w:val="20"/>
          <w:szCs w:val="20"/>
          <w:lang w:val="en-AU"/>
        </w:rPr>
        <w:t xml:space="preserve"> towards the end of the review period</w:t>
      </w:r>
      <w:r w:rsidRPr="00F2496F">
        <w:rPr>
          <w:rFonts w:ascii="Calibri" w:hAnsi="Calibri"/>
          <w:color w:val="000000"/>
          <w:sz w:val="20"/>
          <w:szCs w:val="20"/>
          <w:lang w:val="en-AU"/>
        </w:rPr>
        <w:t>.</w:t>
      </w:r>
      <w:r w:rsidR="006F0DDD">
        <w:rPr>
          <w:rStyle w:val="FootnoteReference"/>
          <w:rFonts w:ascii="Calibri" w:hAnsi="Calibri"/>
          <w:color w:val="000000"/>
          <w:sz w:val="20"/>
          <w:szCs w:val="20"/>
          <w:lang w:val="en-AU"/>
        </w:rPr>
        <w:footnoteReference w:id="3"/>
      </w:r>
    </w:p>
    <w:p w14:paraId="7B7303F3" w14:textId="77777777" w:rsidR="00B5310C" w:rsidRPr="006108C8" w:rsidRDefault="001E2B1A" w:rsidP="001F2786">
      <w:pPr>
        <w:spacing w:after="80"/>
        <w:jc w:val="both"/>
        <w:rPr>
          <w:rFonts w:ascii="Calibri" w:hAnsi="Calibri"/>
          <w:color w:val="000000"/>
          <w:sz w:val="20"/>
          <w:szCs w:val="20"/>
          <w:lang w:val="en-AU"/>
        </w:rPr>
      </w:pPr>
      <w:r w:rsidRPr="001E2B1A">
        <w:rPr>
          <w:b/>
          <w:color w:val="00A6B6" w:themeColor="accent1"/>
          <w:sz w:val="20"/>
          <w:szCs w:val="20"/>
        </w:rPr>
        <w:t>Recommendations:</w:t>
      </w:r>
      <w:r w:rsidRPr="001E2B1A">
        <w:rPr>
          <w:color w:val="00A6B6" w:themeColor="accent1"/>
          <w:sz w:val="20"/>
          <w:szCs w:val="20"/>
        </w:rPr>
        <w:t xml:space="preserve"> </w:t>
      </w:r>
      <w:r w:rsidR="00D414F0" w:rsidRPr="00D414F0">
        <w:rPr>
          <w:sz w:val="20"/>
          <w:szCs w:val="20"/>
        </w:rPr>
        <w:t xml:space="preserve">The </w:t>
      </w:r>
      <w:r w:rsidR="003851B3">
        <w:rPr>
          <w:sz w:val="20"/>
          <w:szCs w:val="20"/>
        </w:rPr>
        <w:t xml:space="preserve">2018 </w:t>
      </w:r>
      <w:r w:rsidR="00D414F0" w:rsidRPr="00D414F0">
        <w:rPr>
          <w:sz w:val="20"/>
          <w:szCs w:val="20"/>
        </w:rPr>
        <w:t>Innovation Strategy</w:t>
      </w:r>
      <w:r w:rsidR="004B0363">
        <w:rPr>
          <w:sz w:val="20"/>
          <w:szCs w:val="20"/>
        </w:rPr>
        <w:t xml:space="preserve"> </w:t>
      </w:r>
      <w:r w:rsidR="00CF5343">
        <w:rPr>
          <w:sz w:val="20"/>
          <w:szCs w:val="20"/>
        </w:rPr>
        <w:t>will be</w:t>
      </w:r>
      <w:r w:rsidR="003851B3">
        <w:rPr>
          <w:sz w:val="20"/>
          <w:szCs w:val="20"/>
        </w:rPr>
        <w:t xml:space="preserve"> </w:t>
      </w:r>
      <w:r w:rsidR="00D414F0" w:rsidRPr="00D414F0">
        <w:rPr>
          <w:sz w:val="20"/>
          <w:szCs w:val="20"/>
        </w:rPr>
        <w:t xml:space="preserve">an important step in overcoming </w:t>
      </w:r>
      <w:r w:rsidR="003851B3">
        <w:rPr>
          <w:sz w:val="20"/>
          <w:szCs w:val="20"/>
        </w:rPr>
        <w:t>some of these challenges</w:t>
      </w:r>
      <w:r w:rsidR="00D414F0" w:rsidRPr="00D414F0">
        <w:rPr>
          <w:sz w:val="20"/>
          <w:szCs w:val="20"/>
        </w:rPr>
        <w:t xml:space="preserve"> that have historically undermined </w:t>
      </w:r>
      <w:r w:rsidR="00D414F0" w:rsidRPr="006108C8">
        <w:rPr>
          <w:sz w:val="20"/>
          <w:szCs w:val="20"/>
        </w:rPr>
        <w:t>impact.</w:t>
      </w:r>
      <w:r w:rsidR="00D414F0" w:rsidRPr="006108C8">
        <w:rPr>
          <w:b/>
        </w:rPr>
        <w:t xml:space="preserve"> </w:t>
      </w:r>
      <w:r w:rsidR="00FA4A6F" w:rsidRPr="006108C8">
        <w:rPr>
          <w:rFonts w:ascii="Calibri" w:hAnsi="Calibri"/>
          <w:color w:val="000000"/>
          <w:sz w:val="20"/>
          <w:szCs w:val="20"/>
          <w:lang w:val="en-AU"/>
        </w:rPr>
        <w:t>Going forward, the iXc should</w:t>
      </w:r>
      <w:r w:rsidR="00B5310C" w:rsidRPr="006108C8">
        <w:rPr>
          <w:rFonts w:ascii="Calibri" w:hAnsi="Calibri"/>
          <w:color w:val="000000"/>
          <w:sz w:val="20"/>
          <w:szCs w:val="20"/>
          <w:lang w:val="en-AU"/>
        </w:rPr>
        <w:t>:</w:t>
      </w:r>
    </w:p>
    <w:p w14:paraId="7573D476" w14:textId="24C92573" w:rsidR="00B5310C" w:rsidRPr="006108C8" w:rsidRDefault="00B5310C" w:rsidP="009349B6">
      <w:pPr>
        <w:pStyle w:val="ListParagraph"/>
        <w:numPr>
          <w:ilvl w:val="0"/>
          <w:numId w:val="12"/>
        </w:numPr>
        <w:spacing w:before="0" w:beforeAutospacing="0"/>
        <w:jc w:val="both"/>
        <w:rPr>
          <w:rFonts w:ascii="Calibri" w:hAnsi="Calibri"/>
          <w:color w:val="000000"/>
          <w:sz w:val="20"/>
          <w:szCs w:val="20"/>
          <w:lang w:val="en-AU"/>
        </w:rPr>
      </w:pPr>
      <w:r w:rsidRPr="006108C8">
        <w:rPr>
          <w:rFonts w:ascii="Calibri" w:hAnsi="Calibri"/>
          <w:color w:val="000000"/>
          <w:sz w:val="20"/>
          <w:szCs w:val="20"/>
          <w:lang w:val="en-AU"/>
        </w:rPr>
        <w:t>F</w:t>
      </w:r>
      <w:r w:rsidR="00FA4A6F" w:rsidRPr="006108C8">
        <w:rPr>
          <w:rFonts w:ascii="Calibri" w:hAnsi="Calibri"/>
          <w:color w:val="000000"/>
          <w:sz w:val="20"/>
          <w:szCs w:val="20"/>
          <w:lang w:val="en-AU"/>
        </w:rPr>
        <w:t xml:space="preserve">ocus on </w:t>
      </w:r>
      <w:r w:rsidR="00222AD1" w:rsidRPr="006108C8">
        <w:rPr>
          <w:rFonts w:ascii="Calibri" w:hAnsi="Calibri"/>
          <w:b/>
          <w:color w:val="000000"/>
          <w:sz w:val="20"/>
          <w:szCs w:val="20"/>
          <w:lang w:val="en-AU"/>
        </w:rPr>
        <w:t xml:space="preserve">improving integration with DFAT and </w:t>
      </w:r>
      <w:r w:rsidR="00D77679" w:rsidRPr="006108C8">
        <w:rPr>
          <w:rFonts w:ascii="Calibri" w:hAnsi="Calibri"/>
          <w:b/>
          <w:color w:val="000000"/>
          <w:sz w:val="20"/>
          <w:szCs w:val="20"/>
          <w:lang w:val="en-AU"/>
        </w:rPr>
        <w:t>c</w:t>
      </w:r>
      <w:r w:rsidR="00222AD1" w:rsidRPr="006108C8">
        <w:rPr>
          <w:rFonts w:ascii="Calibri" w:hAnsi="Calibri"/>
          <w:b/>
          <w:color w:val="000000"/>
          <w:sz w:val="20"/>
          <w:szCs w:val="20"/>
          <w:lang w:val="en-AU"/>
        </w:rPr>
        <w:t xml:space="preserve">ountry </w:t>
      </w:r>
      <w:r w:rsidR="00D77679" w:rsidRPr="006108C8">
        <w:rPr>
          <w:rFonts w:ascii="Calibri" w:hAnsi="Calibri"/>
          <w:b/>
          <w:color w:val="000000"/>
          <w:sz w:val="20"/>
          <w:szCs w:val="20"/>
          <w:lang w:val="en-AU"/>
        </w:rPr>
        <w:t>p</w:t>
      </w:r>
      <w:r w:rsidR="00222AD1" w:rsidRPr="006108C8">
        <w:rPr>
          <w:rFonts w:ascii="Calibri" w:hAnsi="Calibri"/>
          <w:b/>
          <w:color w:val="000000"/>
          <w:sz w:val="20"/>
          <w:szCs w:val="20"/>
          <w:lang w:val="en-AU"/>
        </w:rPr>
        <w:t>osts</w:t>
      </w:r>
      <w:r w:rsidR="00222AD1" w:rsidRPr="006108C8">
        <w:rPr>
          <w:rFonts w:ascii="Calibri" w:hAnsi="Calibri"/>
          <w:color w:val="000000"/>
          <w:sz w:val="20"/>
          <w:szCs w:val="20"/>
          <w:lang w:val="en-AU"/>
        </w:rPr>
        <w:t xml:space="preserve"> as a priority for increasing sustainable impact. This should begin with soliciting feedback to help define a</w:t>
      </w:r>
      <w:r w:rsidR="003851B3" w:rsidRPr="006108C8">
        <w:rPr>
          <w:rFonts w:ascii="Calibri" w:hAnsi="Calibri"/>
          <w:color w:val="000000"/>
          <w:sz w:val="20"/>
          <w:szCs w:val="20"/>
          <w:lang w:val="en-AU"/>
        </w:rPr>
        <w:t xml:space="preserve"> more detailed</w:t>
      </w:r>
      <w:r w:rsidR="00222AD1" w:rsidRPr="006108C8">
        <w:rPr>
          <w:rFonts w:ascii="Calibri" w:hAnsi="Calibri"/>
          <w:color w:val="000000"/>
          <w:sz w:val="20"/>
          <w:szCs w:val="20"/>
          <w:lang w:val="en-AU"/>
        </w:rPr>
        <w:t xml:space="preserve"> approach to improving engagement and coordination</w:t>
      </w:r>
      <w:r w:rsidRPr="006108C8">
        <w:rPr>
          <w:rFonts w:ascii="Calibri" w:hAnsi="Calibri"/>
          <w:color w:val="000000"/>
          <w:sz w:val="20"/>
          <w:szCs w:val="20"/>
          <w:lang w:val="en-AU"/>
        </w:rPr>
        <w:t>;</w:t>
      </w:r>
    </w:p>
    <w:p w14:paraId="0ADA7BEB" w14:textId="2F7A4A78" w:rsidR="00B5310C" w:rsidRPr="006108C8" w:rsidRDefault="00B5310C" w:rsidP="009349B6">
      <w:pPr>
        <w:pStyle w:val="ListParagraph"/>
        <w:numPr>
          <w:ilvl w:val="0"/>
          <w:numId w:val="12"/>
        </w:numPr>
        <w:spacing w:before="0" w:beforeAutospacing="0"/>
        <w:jc w:val="both"/>
        <w:rPr>
          <w:rFonts w:ascii="Calibri" w:hAnsi="Calibri"/>
          <w:color w:val="000000"/>
          <w:sz w:val="20"/>
          <w:szCs w:val="20"/>
          <w:lang w:val="en-AU"/>
        </w:rPr>
      </w:pPr>
      <w:r w:rsidRPr="006108C8">
        <w:rPr>
          <w:rFonts w:ascii="Calibri" w:hAnsi="Calibri"/>
          <w:b/>
          <w:color w:val="000000"/>
          <w:sz w:val="20"/>
          <w:szCs w:val="20"/>
          <w:lang w:val="en-AU"/>
        </w:rPr>
        <w:t>B</w:t>
      </w:r>
      <w:r w:rsidR="00FA4A6F" w:rsidRPr="006108C8">
        <w:rPr>
          <w:rFonts w:ascii="Calibri" w:hAnsi="Calibri"/>
          <w:b/>
          <w:color w:val="000000"/>
          <w:sz w:val="20"/>
          <w:szCs w:val="20"/>
          <w:lang w:val="en-AU"/>
        </w:rPr>
        <w:t>uild</w:t>
      </w:r>
      <w:r w:rsidR="00222AD1" w:rsidRPr="006108C8">
        <w:rPr>
          <w:rFonts w:ascii="Calibri" w:hAnsi="Calibri"/>
          <w:b/>
          <w:color w:val="000000"/>
          <w:sz w:val="20"/>
          <w:szCs w:val="20"/>
          <w:lang w:val="en-AU"/>
        </w:rPr>
        <w:t xml:space="preserve"> its </w:t>
      </w:r>
      <w:r w:rsidR="00FA4A6F" w:rsidRPr="006108C8">
        <w:rPr>
          <w:rFonts w:ascii="Calibri" w:hAnsi="Calibri"/>
          <w:b/>
          <w:color w:val="000000"/>
          <w:sz w:val="20"/>
          <w:szCs w:val="20"/>
          <w:lang w:val="en-AU"/>
        </w:rPr>
        <w:t>in-house expertise</w:t>
      </w:r>
      <w:r w:rsidR="00FA4A6F" w:rsidRPr="006108C8">
        <w:rPr>
          <w:rFonts w:ascii="Calibri" w:hAnsi="Calibri"/>
          <w:color w:val="000000"/>
          <w:sz w:val="20"/>
          <w:szCs w:val="20"/>
          <w:lang w:val="en-AU"/>
        </w:rPr>
        <w:t xml:space="preserve">, </w:t>
      </w:r>
      <w:r w:rsidR="00D416F2" w:rsidRPr="006108C8">
        <w:rPr>
          <w:rFonts w:ascii="Calibri" w:hAnsi="Calibri"/>
          <w:color w:val="000000"/>
          <w:sz w:val="20"/>
          <w:szCs w:val="20"/>
          <w:lang w:val="en-AU"/>
        </w:rPr>
        <w:t>drawing on</w:t>
      </w:r>
      <w:r w:rsidR="00FA4A6F" w:rsidRPr="006108C8">
        <w:rPr>
          <w:rFonts w:ascii="Calibri" w:hAnsi="Calibri"/>
          <w:color w:val="000000"/>
          <w:sz w:val="20"/>
          <w:szCs w:val="20"/>
          <w:lang w:val="en-AU"/>
        </w:rPr>
        <w:t xml:space="preserve"> </w:t>
      </w:r>
      <w:r w:rsidR="00D414F0" w:rsidRPr="006108C8">
        <w:rPr>
          <w:rFonts w:ascii="Calibri" w:hAnsi="Calibri"/>
          <w:color w:val="000000"/>
          <w:sz w:val="20"/>
          <w:szCs w:val="20"/>
          <w:lang w:val="en-AU"/>
        </w:rPr>
        <w:t>resources</w:t>
      </w:r>
      <w:r w:rsidR="00FA4A6F" w:rsidRPr="006108C8">
        <w:rPr>
          <w:rFonts w:ascii="Calibri" w:hAnsi="Calibri"/>
          <w:color w:val="000000"/>
          <w:sz w:val="20"/>
          <w:szCs w:val="20"/>
          <w:lang w:val="en-AU"/>
        </w:rPr>
        <w:t xml:space="preserve"> from beyond the development sector</w:t>
      </w:r>
      <w:r w:rsidRPr="006108C8">
        <w:rPr>
          <w:rFonts w:ascii="Calibri" w:hAnsi="Calibri"/>
          <w:color w:val="000000"/>
          <w:sz w:val="20"/>
          <w:szCs w:val="20"/>
          <w:lang w:val="en-AU"/>
        </w:rPr>
        <w:t>; and</w:t>
      </w:r>
    </w:p>
    <w:p w14:paraId="4F3405A0" w14:textId="6F627BCC" w:rsidR="00BD6967" w:rsidRPr="006108C8" w:rsidRDefault="00B5310C" w:rsidP="009349B6">
      <w:pPr>
        <w:pStyle w:val="ListParagraph"/>
        <w:numPr>
          <w:ilvl w:val="0"/>
          <w:numId w:val="12"/>
        </w:numPr>
        <w:spacing w:before="0" w:beforeAutospacing="0"/>
        <w:jc w:val="both"/>
        <w:rPr>
          <w:rFonts w:ascii="Calibri" w:hAnsi="Calibri"/>
          <w:color w:val="000000"/>
          <w:sz w:val="20"/>
          <w:szCs w:val="20"/>
          <w:lang w:val="en-AU"/>
        </w:rPr>
      </w:pPr>
      <w:r w:rsidRPr="006108C8">
        <w:rPr>
          <w:rFonts w:ascii="Calibri" w:hAnsi="Calibri"/>
          <w:color w:val="000000"/>
          <w:sz w:val="20"/>
          <w:szCs w:val="20"/>
          <w:lang w:val="en-AU"/>
        </w:rPr>
        <w:t>I</w:t>
      </w:r>
      <w:r w:rsidR="00FA4A6F" w:rsidRPr="006108C8">
        <w:rPr>
          <w:rFonts w:ascii="Calibri" w:hAnsi="Calibri"/>
          <w:color w:val="000000"/>
          <w:sz w:val="20"/>
          <w:szCs w:val="20"/>
          <w:lang w:val="en-AU"/>
        </w:rPr>
        <w:t>ncreas</w:t>
      </w:r>
      <w:r w:rsidRPr="006108C8">
        <w:rPr>
          <w:rFonts w:ascii="Calibri" w:hAnsi="Calibri"/>
          <w:color w:val="000000"/>
          <w:sz w:val="20"/>
          <w:szCs w:val="20"/>
          <w:lang w:val="en-AU"/>
        </w:rPr>
        <w:t>e</w:t>
      </w:r>
      <w:r w:rsidR="00FA4A6F" w:rsidRPr="006108C8">
        <w:rPr>
          <w:rFonts w:ascii="Calibri" w:hAnsi="Calibri"/>
          <w:color w:val="000000"/>
          <w:sz w:val="20"/>
          <w:szCs w:val="20"/>
          <w:lang w:val="en-AU"/>
        </w:rPr>
        <w:t xml:space="preserve"> capacity in </w:t>
      </w:r>
      <w:r w:rsidR="00D414F0" w:rsidRPr="006108C8">
        <w:rPr>
          <w:rFonts w:ascii="Calibri" w:hAnsi="Calibri"/>
          <w:color w:val="000000"/>
          <w:sz w:val="20"/>
          <w:szCs w:val="20"/>
          <w:lang w:val="en-AU"/>
        </w:rPr>
        <w:t xml:space="preserve">three key areas: </w:t>
      </w:r>
      <w:r w:rsidR="00FA4A6F" w:rsidRPr="006108C8">
        <w:rPr>
          <w:rFonts w:ascii="Calibri" w:hAnsi="Calibri"/>
          <w:b/>
          <w:color w:val="000000"/>
          <w:sz w:val="20"/>
          <w:szCs w:val="20"/>
          <w:lang w:val="en-AU"/>
        </w:rPr>
        <w:t>monitoring, evaluation and learning</w:t>
      </w:r>
      <w:r w:rsidR="00BC73A8" w:rsidRPr="006108C8">
        <w:rPr>
          <w:rFonts w:ascii="Calibri" w:hAnsi="Calibri"/>
          <w:b/>
          <w:color w:val="000000"/>
          <w:sz w:val="20"/>
          <w:szCs w:val="20"/>
          <w:lang w:val="en-AU"/>
        </w:rPr>
        <w:t xml:space="preserve"> for innovation</w:t>
      </w:r>
      <w:r w:rsidR="00D414F0" w:rsidRPr="006108C8">
        <w:rPr>
          <w:rFonts w:ascii="Calibri" w:hAnsi="Calibri"/>
          <w:b/>
          <w:color w:val="000000"/>
          <w:sz w:val="20"/>
          <w:szCs w:val="20"/>
          <w:lang w:val="en-AU"/>
        </w:rPr>
        <w:t xml:space="preserve">; </w:t>
      </w:r>
      <w:r w:rsidR="00FA4A6F" w:rsidRPr="006108C8">
        <w:rPr>
          <w:rFonts w:ascii="Calibri" w:hAnsi="Calibri"/>
          <w:b/>
          <w:color w:val="000000"/>
          <w:sz w:val="20"/>
          <w:szCs w:val="20"/>
          <w:lang w:val="en-AU"/>
        </w:rPr>
        <w:t>gender</w:t>
      </w:r>
      <w:r w:rsidR="00BC73A8" w:rsidRPr="006108C8">
        <w:rPr>
          <w:rFonts w:ascii="Calibri" w:hAnsi="Calibri"/>
          <w:b/>
          <w:color w:val="000000"/>
          <w:sz w:val="20"/>
          <w:szCs w:val="20"/>
          <w:lang w:val="en-AU"/>
        </w:rPr>
        <w:t xml:space="preserve"> and innovation</w:t>
      </w:r>
      <w:r w:rsidR="00D414F0" w:rsidRPr="006108C8">
        <w:rPr>
          <w:rFonts w:ascii="Calibri" w:hAnsi="Calibri"/>
          <w:b/>
          <w:color w:val="000000"/>
          <w:sz w:val="20"/>
          <w:szCs w:val="20"/>
          <w:lang w:val="en-AU"/>
        </w:rPr>
        <w:t xml:space="preserve">; and cross-cutting </w:t>
      </w:r>
      <w:r w:rsidR="000A4892" w:rsidRPr="006108C8">
        <w:rPr>
          <w:rFonts w:ascii="Calibri" w:hAnsi="Calibri"/>
          <w:b/>
          <w:color w:val="000000"/>
          <w:sz w:val="20"/>
          <w:szCs w:val="20"/>
          <w:lang w:val="en-AU"/>
        </w:rPr>
        <w:t>competencies</w:t>
      </w:r>
      <w:r w:rsidR="00D414F0" w:rsidRPr="006108C8">
        <w:rPr>
          <w:rFonts w:ascii="Calibri" w:hAnsi="Calibri"/>
          <w:color w:val="000000"/>
          <w:sz w:val="20"/>
          <w:szCs w:val="20"/>
          <w:lang w:val="en-AU"/>
        </w:rPr>
        <w:t xml:space="preserve"> such as </w:t>
      </w:r>
      <w:r w:rsidR="00FA4A6F" w:rsidRPr="006108C8">
        <w:rPr>
          <w:rFonts w:ascii="Calibri" w:hAnsi="Calibri"/>
          <w:color w:val="000000"/>
          <w:sz w:val="20"/>
          <w:szCs w:val="20"/>
          <w:lang w:val="en-AU"/>
        </w:rPr>
        <w:t>systems thinkin</w:t>
      </w:r>
      <w:r w:rsidR="009372AB" w:rsidRPr="006108C8">
        <w:rPr>
          <w:rFonts w:ascii="Calibri" w:hAnsi="Calibri"/>
          <w:color w:val="000000"/>
          <w:sz w:val="20"/>
          <w:szCs w:val="20"/>
          <w:lang w:val="en-AU"/>
        </w:rPr>
        <w:t>g</w:t>
      </w:r>
      <w:r w:rsidR="00D414F0" w:rsidRPr="006108C8">
        <w:rPr>
          <w:rFonts w:ascii="Calibri" w:hAnsi="Calibri"/>
          <w:color w:val="000000"/>
          <w:sz w:val="20"/>
          <w:szCs w:val="20"/>
          <w:lang w:val="en-AU"/>
        </w:rPr>
        <w:t xml:space="preserve">, technology </w:t>
      </w:r>
      <w:r w:rsidR="00D5398B" w:rsidRPr="006108C8">
        <w:rPr>
          <w:rFonts w:ascii="Calibri" w:hAnsi="Calibri"/>
          <w:color w:val="000000"/>
          <w:sz w:val="20"/>
          <w:szCs w:val="20"/>
          <w:lang w:val="en-AU"/>
        </w:rPr>
        <w:t xml:space="preserve">and </w:t>
      </w:r>
      <w:r w:rsidR="00FA4A6F" w:rsidRPr="006108C8">
        <w:rPr>
          <w:rFonts w:ascii="Calibri" w:hAnsi="Calibri"/>
          <w:color w:val="000000"/>
          <w:sz w:val="20"/>
          <w:szCs w:val="20"/>
          <w:lang w:val="en-AU"/>
        </w:rPr>
        <w:t>digital inclusion</w:t>
      </w:r>
      <w:r w:rsidR="00222AD1" w:rsidRPr="006108C8">
        <w:rPr>
          <w:rFonts w:ascii="Calibri" w:hAnsi="Calibri"/>
          <w:color w:val="000000"/>
          <w:sz w:val="20"/>
          <w:szCs w:val="20"/>
          <w:lang w:val="en-AU"/>
        </w:rPr>
        <w:t xml:space="preserve">. </w:t>
      </w:r>
      <w:r w:rsidR="007E465D" w:rsidRPr="006108C8">
        <w:rPr>
          <w:rFonts w:ascii="Calibri" w:hAnsi="Calibri"/>
          <w:color w:val="000000"/>
          <w:sz w:val="20"/>
          <w:szCs w:val="20"/>
          <w:lang w:val="en-AU"/>
        </w:rPr>
        <w:t>W</w:t>
      </w:r>
      <w:r w:rsidR="009372AB" w:rsidRPr="006108C8">
        <w:rPr>
          <w:rFonts w:ascii="Calibri" w:hAnsi="Calibri"/>
          <w:color w:val="000000"/>
          <w:sz w:val="20"/>
          <w:szCs w:val="20"/>
          <w:lang w:val="en-AU"/>
        </w:rPr>
        <w:t>hile already integrated</w:t>
      </w:r>
      <w:r w:rsidR="009638E4" w:rsidRPr="006108C8">
        <w:rPr>
          <w:rFonts w:ascii="Calibri" w:hAnsi="Calibri"/>
          <w:color w:val="000000"/>
          <w:sz w:val="20"/>
          <w:szCs w:val="20"/>
          <w:lang w:val="en-AU"/>
        </w:rPr>
        <w:t xml:space="preserve"> at the </w:t>
      </w:r>
      <w:r w:rsidR="009F2FF3" w:rsidRPr="006108C8">
        <w:rPr>
          <w:rFonts w:ascii="Calibri" w:hAnsi="Calibri"/>
          <w:color w:val="000000"/>
          <w:sz w:val="20"/>
          <w:szCs w:val="20"/>
          <w:lang w:val="en-AU"/>
        </w:rPr>
        <w:t>program</w:t>
      </w:r>
      <w:r w:rsidR="009638E4" w:rsidRPr="006108C8">
        <w:rPr>
          <w:rFonts w:ascii="Calibri" w:hAnsi="Calibri"/>
          <w:color w:val="000000"/>
          <w:sz w:val="20"/>
          <w:szCs w:val="20"/>
          <w:lang w:val="en-AU"/>
        </w:rPr>
        <w:t xml:space="preserve"> level</w:t>
      </w:r>
      <w:r w:rsidR="009372AB" w:rsidRPr="006108C8">
        <w:rPr>
          <w:rFonts w:ascii="Calibri" w:hAnsi="Calibri"/>
          <w:color w:val="000000"/>
          <w:sz w:val="20"/>
          <w:szCs w:val="20"/>
          <w:lang w:val="en-AU"/>
        </w:rPr>
        <w:t xml:space="preserve"> to varying degrees, </w:t>
      </w:r>
      <w:r w:rsidR="001A3918" w:rsidRPr="006108C8">
        <w:rPr>
          <w:rFonts w:ascii="Calibri" w:hAnsi="Calibri"/>
          <w:color w:val="000000"/>
          <w:sz w:val="20"/>
          <w:szCs w:val="20"/>
          <w:lang w:val="en-AU"/>
        </w:rPr>
        <w:t>dedicated resource</w:t>
      </w:r>
      <w:r w:rsidR="003851B3" w:rsidRPr="006108C8">
        <w:rPr>
          <w:rFonts w:ascii="Calibri" w:hAnsi="Calibri"/>
          <w:color w:val="000000"/>
          <w:sz w:val="20"/>
          <w:szCs w:val="20"/>
          <w:lang w:val="en-AU"/>
        </w:rPr>
        <w:t>s</w:t>
      </w:r>
      <w:r w:rsidR="001A3918" w:rsidRPr="006108C8">
        <w:rPr>
          <w:rFonts w:ascii="Calibri" w:hAnsi="Calibri"/>
          <w:color w:val="000000"/>
          <w:sz w:val="20"/>
          <w:szCs w:val="20"/>
          <w:lang w:val="en-AU"/>
        </w:rPr>
        <w:t xml:space="preserve"> would ensure that these </w:t>
      </w:r>
      <w:r w:rsidR="00F8756C" w:rsidRPr="006108C8">
        <w:rPr>
          <w:rFonts w:ascii="Calibri" w:hAnsi="Calibri"/>
          <w:color w:val="000000"/>
          <w:sz w:val="20"/>
          <w:szCs w:val="20"/>
          <w:lang w:val="en-AU"/>
        </w:rPr>
        <w:t xml:space="preserve">areas are </w:t>
      </w:r>
      <w:r w:rsidR="00FC3EC8" w:rsidRPr="006108C8">
        <w:rPr>
          <w:rFonts w:ascii="Calibri" w:hAnsi="Calibri"/>
          <w:color w:val="000000"/>
          <w:sz w:val="20"/>
          <w:szCs w:val="20"/>
          <w:lang w:val="en-AU"/>
        </w:rPr>
        <w:t xml:space="preserve">systematically </w:t>
      </w:r>
      <w:r w:rsidR="00027C9B" w:rsidRPr="006108C8">
        <w:rPr>
          <w:rFonts w:ascii="Calibri" w:hAnsi="Calibri"/>
          <w:color w:val="000000"/>
          <w:sz w:val="20"/>
          <w:szCs w:val="20"/>
          <w:lang w:val="en-AU"/>
        </w:rPr>
        <w:t>embedded throughout design and implementation</w:t>
      </w:r>
      <w:r w:rsidR="00F8756C" w:rsidRPr="006108C8">
        <w:rPr>
          <w:rFonts w:ascii="Calibri" w:hAnsi="Calibri"/>
          <w:color w:val="000000"/>
          <w:sz w:val="20"/>
          <w:szCs w:val="20"/>
          <w:lang w:val="en-AU"/>
        </w:rPr>
        <w:t xml:space="preserve"> across the</w:t>
      </w:r>
      <w:r w:rsidR="00D42E3B" w:rsidRPr="006108C8">
        <w:rPr>
          <w:rFonts w:ascii="Calibri" w:hAnsi="Calibri"/>
          <w:color w:val="000000"/>
          <w:sz w:val="20"/>
          <w:szCs w:val="20"/>
          <w:lang w:val="en-AU"/>
        </w:rPr>
        <w:t xml:space="preserve"> whole of the iXc </w:t>
      </w:r>
      <w:r w:rsidR="00F8756C" w:rsidRPr="006108C8">
        <w:rPr>
          <w:rFonts w:ascii="Calibri" w:hAnsi="Calibri"/>
          <w:color w:val="000000"/>
          <w:sz w:val="20"/>
          <w:szCs w:val="20"/>
          <w:lang w:val="en-AU"/>
        </w:rPr>
        <w:t>portfolio</w:t>
      </w:r>
      <w:r w:rsidR="00BC73A8" w:rsidRPr="006108C8">
        <w:rPr>
          <w:rFonts w:ascii="Calibri" w:hAnsi="Calibri"/>
          <w:color w:val="000000"/>
          <w:sz w:val="20"/>
          <w:szCs w:val="20"/>
          <w:lang w:val="en-AU"/>
        </w:rPr>
        <w:t>, and</w:t>
      </w:r>
      <w:r w:rsidR="003D245C" w:rsidRPr="006108C8">
        <w:rPr>
          <w:rFonts w:ascii="Calibri" w:hAnsi="Calibri"/>
          <w:color w:val="000000"/>
          <w:sz w:val="20"/>
          <w:szCs w:val="20"/>
          <w:lang w:val="en-AU"/>
        </w:rPr>
        <w:t xml:space="preserve"> that</w:t>
      </w:r>
      <w:r w:rsidR="00BC73A8" w:rsidRPr="006108C8">
        <w:rPr>
          <w:rFonts w:ascii="Calibri" w:hAnsi="Calibri"/>
          <w:color w:val="000000"/>
          <w:sz w:val="20"/>
          <w:szCs w:val="20"/>
          <w:lang w:val="en-AU"/>
        </w:rPr>
        <w:t xml:space="preserve"> iXc staff are able to support others across DFAT </w:t>
      </w:r>
      <w:r w:rsidR="00B342B8" w:rsidRPr="006108C8">
        <w:rPr>
          <w:rFonts w:ascii="Calibri" w:hAnsi="Calibri"/>
          <w:color w:val="000000"/>
          <w:sz w:val="20"/>
          <w:szCs w:val="20"/>
          <w:lang w:val="en-AU"/>
        </w:rPr>
        <w:t xml:space="preserve">to </w:t>
      </w:r>
      <w:r w:rsidR="00BC73A8" w:rsidRPr="006108C8">
        <w:rPr>
          <w:rFonts w:ascii="Calibri" w:hAnsi="Calibri"/>
          <w:color w:val="000000"/>
          <w:sz w:val="20"/>
          <w:szCs w:val="20"/>
          <w:lang w:val="en-AU"/>
        </w:rPr>
        <w:t>develop and use these skills</w:t>
      </w:r>
      <w:r w:rsidR="003D245C" w:rsidRPr="006108C8">
        <w:rPr>
          <w:rFonts w:ascii="Calibri" w:hAnsi="Calibri"/>
          <w:color w:val="000000"/>
          <w:sz w:val="20"/>
          <w:szCs w:val="20"/>
          <w:lang w:val="en-AU"/>
        </w:rPr>
        <w:t xml:space="preserve">. </w:t>
      </w:r>
    </w:p>
    <w:p w14:paraId="5A8C5817" w14:textId="2F6D5736" w:rsidR="00C56533" w:rsidRPr="00C56533" w:rsidRDefault="005C4AEB" w:rsidP="001F2786">
      <w:pPr>
        <w:pStyle w:val="Heading2"/>
        <w:jc w:val="both"/>
      </w:pPr>
      <w:r w:rsidRPr="006108C8">
        <w:t>Setting and communicating a clear vision</w:t>
      </w:r>
      <w:r w:rsidRPr="00C56533">
        <w:t xml:space="preserve"> and theory of change</w:t>
      </w:r>
    </w:p>
    <w:p w14:paraId="034E4A54" w14:textId="523039EA" w:rsidR="00CB04D9" w:rsidRDefault="007F21AD" w:rsidP="001F2786">
      <w:pPr>
        <w:spacing w:after="80"/>
        <w:jc w:val="both"/>
        <w:rPr>
          <w:rFonts w:ascii="Calibri" w:hAnsi="Calibri"/>
          <w:color w:val="000000"/>
          <w:sz w:val="20"/>
          <w:szCs w:val="20"/>
          <w:lang w:val="en-AU"/>
        </w:rPr>
      </w:pPr>
      <w:r>
        <w:rPr>
          <w:rFonts w:ascii="Calibri" w:hAnsi="Calibri"/>
          <w:color w:val="000000"/>
          <w:sz w:val="20"/>
          <w:szCs w:val="20"/>
          <w:lang w:val="en-AU"/>
        </w:rPr>
        <w:t xml:space="preserve">The iXc’s strategic direction was </w:t>
      </w:r>
      <w:r w:rsidR="00861F70">
        <w:rPr>
          <w:rFonts w:ascii="Calibri" w:hAnsi="Calibri"/>
          <w:color w:val="000000"/>
          <w:sz w:val="20"/>
          <w:szCs w:val="20"/>
          <w:lang w:val="en-AU"/>
        </w:rPr>
        <w:t>shaped</w:t>
      </w:r>
      <w:r>
        <w:rPr>
          <w:rFonts w:ascii="Calibri" w:hAnsi="Calibri"/>
          <w:color w:val="000000"/>
          <w:sz w:val="20"/>
          <w:szCs w:val="20"/>
          <w:lang w:val="en-AU"/>
        </w:rPr>
        <w:t xml:space="preserve"> </w:t>
      </w:r>
      <w:r w:rsidR="006C09B7">
        <w:rPr>
          <w:rFonts w:ascii="Calibri" w:hAnsi="Calibri"/>
          <w:color w:val="000000"/>
          <w:sz w:val="20"/>
          <w:szCs w:val="20"/>
          <w:lang w:val="en-AU"/>
        </w:rPr>
        <w:t xml:space="preserve">through </w:t>
      </w:r>
      <w:r w:rsidR="00861F70">
        <w:rPr>
          <w:rFonts w:ascii="Calibri" w:hAnsi="Calibri"/>
          <w:color w:val="000000"/>
          <w:sz w:val="20"/>
          <w:szCs w:val="20"/>
          <w:lang w:val="en-AU"/>
        </w:rPr>
        <w:t xml:space="preserve">consultation with </w:t>
      </w:r>
      <w:r w:rsidR="006C09B7">
        <w:rPr>
          <w:rFonts w:ascii="Calibri" w:hAnsi="Calibri"/>
          <w:color w:val="000000"/>
          <w:sz w:val="20"/>
          <w:szCs w:val="20"/>
          <w:lang w:val="en-AU"/>
        </w:rPr>
        <w:t xml:space="preserve">a </w:t>
      </w:r>
      <w:r w:rsidR="009C478E">
        <w:rPr>
          <w:rFonts w:ascii="Calibri" w:hAnsi="Calibri"/>
          <w:color w:val="000000"/>
          <w:sz w:val="20"/>
          <w:szCs w:val="20"/>
          <w:lang w:val="en-AU"/>
        </w:rPr>
        <w:t xml:space="preserve">variety </w:t>
      </w:r>
      <w:r w:rsidR="006C09B7">
        <w:rPr>
          <w:rFonts w:ascii="Calibri" w:hAnsi="Calibri"/>
          <w:color w:val="000000"/>
          <w:sz w:val="20"/>
          <w:szCs w:val="20"/>
          <w:lang w:val="en-AU"/>
        </w:rPr>
        <w:t>of</w:t>
      </w:r>
      <w:r w:rsidR="00861F70">
        <w:rPr>
          <w:rFonts w:ascii="Calibri" w:hAnsi="Calibri"/>
          <w:color w:val="000000"/>
          <w:sz w:val="20"/>
          <w:szCs w:val="20"/>
          <w:lang w:val="en-AU"/>
        </w:rPr>
        <w:t xml:space="preserve"> actors</w:t>
      </w:r>
      <w:r w:rsidR="00CB04D9">
        <w:rPr>
          <w:rFonts w:ascii="Calibri" w:hAnsi="Calibri"/>
          <w:color w:val="000000"/>
          <w:sz w:val="20"/>
          <w:szCs w:val="20"/>
          <w:lang w:val="en-AU"/>
        </w:rPr>
        <w:t>:</w:t>
      </w:r>
      <w:r>
        <w:rPr>
          <w:rFonts w:ascii="Calibri" w:hAnsi="Calibri"/>
          <w:color w:val="000000"/>
          <w:sz w:val="20"/>
          <w:szCs w:val="20"/>
          <w:lang w:val="en-AU"/>
        </w:rPr>
        <w:t xml:space="preserve"> </w:t>
      </w:r>
    </w:p>
    <w:p w14:paraId="36A4E6EF" w14:textId="408823BE" w:rsidR="00CB04D9" w:rsidRDefault="005C4AEB" w:rsidP="009349B6">
      <w:pPr>
        <w:pStyle w:val="ListParagraph"/>
        <w:numPr>
          <w:ilvl w:val="0"/>
          <w:numId w:val="11"/>
        </w:numPr>
        <w:spacing w:before="0" w:beforeAutospacing="0"/>
        <w:jc w:val="both"/>
        <w:rPr>
          <w:rFonts w:ascii="Calibri" w:hAnsi="Calibri"/>
          <w:color w:val="000000"/>
          <w:sz w:val="20"/>
          <w:szCs w:val="20"/>
          <w:lang w:val="en-AU"/>
        </w:rPr>
      </w:pPr>
      <w:r w:rsidRPr="00C04C49">
        <w:rPr>
          <w:rFonts w:ascii="Calibri" w:hAnsi="Calibri"/>
          <w:color w:val="000000"/>
          <w:sz w:val="20"/>
          <w:szCs w:val="20"/>
          <w:lang w:val="en-AU"/>
        </w:rPr>
        <w:t>An International Reference Group</w:t>
      </w:r>
      <w:r w:rsidR="00C70115">
        <w:rPr>
          <w:rFonts w:ascii="Calibri" w:hAnsi="Calibri"/>
          <w:color w:val="000000"/>
          <w:sz w:val="20"/>
          <w:szCs w:val="20"/>
          <w:lang w:val="en-AU"/>
        </w:rPr>
        <w:t xml:space="preserve">, </w:t>
      </w:r>
      <w:r w:rsidR="00F34196">
        <w:rPr>
          <w:rFonts w:ascii="Calibri" w:hAnsi="Calibri"/>
          <w:color w:val="000000"/>
          <w:sz w:val="20"/>
          <w:szCs w:val="20"/>
          <w:lang w:val="en-AU"/>
        </w:rPr>
        <w:t>chaired</w:t>
      </w:r>
      <w:r w:rsidR="00C70115">
        <w:rPr>
          <w:rFonts w:ascii="Calibri" w:hAnsi="Calibri"/>
          <w:color w:val="000000"/>
          <w:sz w:val="20"/>
          <w:szCs w:val="20"/>
          <w:lang w:val="en-AU"/>
        </w:rPr>
        <w:t xml:space="preserve"> by </w:t>
      </w:r>
      <w:r w:rsidR="00D60527">
        <w:rPr>
          <w:rFonts w:ascii="Calibri" w:hAnsi="Calibri"/>
          <w:color w:val="000000"/>
          <w:sz w:val="20"/>
          <w:szCs w:val="20"/>
          <w:lang w:val="en-AU"/>
        </w:rPr>
        <w:t>f</w:t>
      </w:r>
      <w:r w:rsidR="00C70115">
        <w:rPr>
          <w:rFonts w:ascii="Calibri" w:hAnsi="Calibri"/>
          <w:color w:val="000000"/>
          <w:sz w:val="20"/>
          <w:szCs w:val="20"/>
          <w:lang w:val="en-AU"/>
        </w:rPr>
        <w:t xml:space="preserve">ormer Foreign Minister </w:t>
      </w:r>
      <w:r w:rsidR="00F34196">
        <w:rPr>
          <w:rFonts w:ascii="Calibri" w:hAnsi="Calibri"/>
          <w:color w:val="000000"/>
          <w:sz w:val="20"/>
          <w:szCs w:val="20"/>
          <w:lang w:val="en-AU"/>
        </w:rPr>
        <w:t xml:space="preserve">Julie Bishop MP, </w:t>
      </w:r>
      <w:r w:rsidR="00C70115">
        <w:rPr>
          <w:rFonts w:ascii="Calibri" w:hAnsi="Calibri"/>
          <w:color w:val="000000"/>
          <w:sz w:val="20"/>
          <w:szCs w:val="20"/>
          <w:lang w:val="en-AU"/>
        </w:rPr>
        <w:t>and composed</w:t>
      </w:r>
      <w:r w:rsidRPr="00C04C49">
        <w:rPr>
          <w:rFonts w:ascii="Calibri" w:hAnsi="Calibri"/>
          <w:color w:val="000000"/>
          <w:sz w:val="20"/>
          <w:szCs w:val="20"/>
          <w:lang w:val="en-AU"/>
        </w:rPr>
        <w:t xml:space="preserve"> of global leaders in business, civil society, philanthropy and academia</w:t>
      </w:r>
      <w:r w:rsidR="007F21AD" w:rsidRPr="00C04C49">
        <w:rPr>
          <w:rFonts w:ascii="Calibri" w:hAnsi="Calibri"/>
          <w:color w:val="000000"/>
          <w:sz w:val="20"/>
          <w:szCs w:val="20"/>
          <w:lang w:val="en-AU"/>
        </w:rPr>
        <w:t xml:space="preserve">; </w:t>
      </w:r>
    </w:p>
    <w:p w14:paraId="6250A2F6" w14:textId="4CD2BAE2" w:rsidR="00F62F6F" w:rsidRDefault="00F62F6F" w:rsidP="009349B6">
      <w:pPr>
        <w:pStyle w:val="ListParagraph"/>
        <w:numPr>
          <w:ilvl w:val="0"/>
          <w:numId w:val="11"/>
        </w:numPr>
        <w:spacing w:before="0" w:beforeAutospacing="0"/>
        <w:jc w:val="both"/>
        <w:rPr>
          <w:rFonts w:ascii="Calibri" w:hAnsi="Calibri"/>
          <w:color w:val="000000"/>
          <w:sz w:val="20"/>
          <w:szCs w:val="20"/>
          <w:lang w:val="en-AU"/>
        </w:rPr>
      </w:pPr>
      <w:r>
        <w:rPr>
          <w:rFonts w:ascii="Calibri" w:hAnsi="Calibri"/>
          <w:color w:val="000000"/>
          <w:sz w:val="20"/>
          <w:szCs w:val="20"/>
          <w:lang w:val="en-AU"/>
        </w:rPr>
        <w:t>DFAT Senior Leadership and DFAT’s Innovation Champion</w:t>
      </w:r>
      <w:r w:rsidR="00C04E6C">
        <w:rPr>
          <w:rFonts w:ascii="Calibri" w:hAnsi="Calibri"/>
          <w:color w:val="000000"/>
          <w:sz w:val="20"/>
          <w:szCs w:val="20"/>
          <w:lang w:val="en-AU"/>
        </w:rPr>
        <w:t>s</w:t>
      </w:r>
      <w:r w:rsidR="00D60527">
        <w:rPr>
          <w:rFonts w:ascii="Calibri" w:hAnsi="Calibri"/>
          <w:color w:val="000000"/>
          <w:sz w:val="20"/>
          <w:szCs w:val="20"/>
          <w:lang w:val="en-AU"/>
        </w:rPr>
        <w:t>;</w:t>
      </w:r>
    </w:p>
    <w:p w14:paraId="5C869977" w14:textId="27BFF254" w:rsidR="00CB04D9" w:rsidRPr="00CF5343" w:rsidRDefault="000F1B6C" w:rsidP="009349B6">
      <w:pPr>
        <w:pStyle w:val="ListParagraph"/>
        <w:numPr>
          <w:ilvl w:val="0"/>
          <w:numId w:val="11"/>
        </w:numPr>
        <w:spacing w:after="80"/>
        <w:jc w:val="both"/>
        <w:rPr>
          <w:rFonts w:ascii="Calibri" w:hAnsi="Calibri"/>
          <w:color w:val="000000"/>
          <w:sz w:val="20"/>
          <w:szCs w:val="20"/>
          <w:lang w:val="en-AU"/>
        </w:rPr>
      </w:pPr>
      <w:r>
        <w:rPr>
          <w:rFonts w:ascii="Calibri" w:hAnsi="Calibri"/>
          <w:color w:val="000000"/>
          <w:sz w:val="20"/>
          <w:szCs w:val="20"/>
          <w:lang w:val="en-AU"/>
        </w:rPr>
        <w:t>O</w:t>
      </w:r>
      <w:r w:rsidR="0077222E" w:rsidRPr="00C04C49">
        <w:rPr>
          <w:rFonts w:ascii="Calibri" w:hAnsi="Calibri"/>
          <w:color w:val="000000"/>
          <w:sz w:val="20"/>
          <w:szCs w:val="20"/>
          <w:lang w:val="en-AU"/>
        </w:rPr>
        <w:t xml:space="preserve">ther </w:t>
      </w:r>
      <w:r w:rsidR="005D4253">
        <w:rPr>
          <w:rFonts w:ascii="Calibri" w:hAnsi="Calibri"/>
          <w:color w:val="000000"/>
          <w:sz w:val="20"/>
          <w:szCs w:val="20"/>
          <w:lang w:val="en-AU"/>
        </w:rPr>
        <w:t xml:space="preserve">development </w:t>
      </w:r>
      <w:r w:rsidR="0077222E" w:rsidRPr="00C04C49">
        <w:rPr>
          <w:rFonts w:ascii="Calibri" w:hAnsi="Calibri"/>
          <w:color w:val="000000"/>
          <w:sz w:val="20"/>
          <w:szCs w:val="20"/>
          <w:lang w:val="en-AU"/>
        </w:rPr>
        <w:t>agenc</w:t>
      </w:r>
      <w:r w:rsidR="005D4253">
        <w:rPr>
          <w:rFonts w:ascii="Calibri" w:hAnsi="Calibri"/>
          <w:color w:val="000000"/>
          <w:sz w:val="20"/>
          <w:szCs w:val="20"/>
          <w:lang w:val="en-AU"/>
        </w:rPr>
        <w:t>y innovation units</w:t>
      </w:r>
      <w:r w:rsidR="005D4253" w:rsidRPr="00CF5343">
        <w:rPr>
          <w:rFonts w:ascii="Calibri" w:hAnsi="Calibri"/>
          <w:color w:val="000000"/>
          <w:sz w:val="20"/>
          <w:szCs w:val="20"/>
          <w:lang w:val="en-AU"/>
        </w:rPr>
        <w:t xml:space="preserve"> </w:t>
      </w:r>
      <w:r w:rsidR="005C4AEB" w:rsidRPr="00CF5343">
        <w:rPr>
          <w:rFonts w:ascii="Calibri" w:hAnsi="Calibri"/>
          <w:color w:val="000000"/>
          <w:sz w:val="20"/>
          <w:szCs w:val="20"/>
          <w:lang w:val="en-AU"/>
        </w:rPr>
        <w:t>through the</w:t>
      </w:r>
      <w:r w:rsidR="005D4253">
        <w:rPr>
          <w:rFonts w:ascii="Calibri" w:hAnsi="Calibri"/>
          <w:color w:val="000000"/>
          <w:sz w:val="20"/>
          <w:szCs w:val="20"/>
          <w:lang w:val="en-AU"/>
        </w:rPr>
        <w:t xml:space="preserve"> iXc’s membership of the</w:t>
      </w:r>
      <w:r w:rsidR="005C4AEB" w:rsidRPr="00CF5343">
        <w:rPr>
          <w:rFonts w:ascii="Calibri" w:hAnsi="Calibri"/>
          <w:color w:val="000000"/>
          <w:sz w:val="20"/>
          <w:szCs w:val="20"/>
          <w:lang w:val="en-AU"/>
        </w:rPr>
        <w:t xml:space="preserve"> </w:t>
      </w:r>
      <w:hyperlink r:id="rId9" w:history="1">
        <w:r w:rsidR="005C4AEB" w:rsidRPr="005D4253">
          <w:rPr>
            <w:rStyle w:val="Hyperlink"/>
            <w:rFonts w:ascii="Calibri" w:hAnsi="Calibri"/>
            <w:sz w:val="20"/>
            <w:szCs w:val="20"/>
            <w:lang w:val="en-AU"/>
          </w:rPr>
          <w:t>International Development Innovation Alliance</w:t>
        </w:r>
      </w:hyperlink>
      <w:r w:rsidR="005C4AEB" w:rsidRPr="00CF5343">
        <w:rPr>
          <w:rFonts w:ascii="Calibri" w:hAnsi="Calibri"/>
          <w:color w:val="000000"/>
          <w:sz w:val="20"/>
          <w:szCs w:val="20"/>
          <w:lang w:val="en-AU"/>
        </w:rPr>
        <w:t xml:space="preserve"> (IDIA)</w:t>
      </w:r>
      <w:r w:rsidR="00C47AE7">
        <w:rPr>
          <w:rFonts w:ascii="Calibri" w:hAnsi="Calibri"/>
          <w:color w:val="000000"/>
          <w:sz w:val="20"/>
          <w:szCs w:val="20"/>
          <w:lang w:val="en-AU"/>
        </w:rPr>
        <w:t>;</w:t>
      </w:r>
      <w:r w:rsidR="007F21AD">
        <w:rPr>
          <w:rStyle w:val="FootnoteReference"/>
          <w:rFonts w:ascii="Calibri" w:hAnsi="Calibri"/>
          <w:color w:val="000000"/>
          <w:sz w:val="20"/>
          <w:szCs w:val="20"/>
          <w:lang w:val="en-AU"/>
        </w:rPr>
        <w:footnoteReference w:id="4"/>
      </w:r>
      <w:r w:rsidR="007F21AD" w:rsidRPr="00CF5343">
        <w:rPr>
          <w:rFonts w:ascii="Calibri" w:hAnsi="Calibri"/>
          <w:color w:val="000000"/>
          <w:sz w:val="20"/>
          <w:szCs w:val="20"/>
          <w:lang w:val="en-AU"/>
        </w:rPr>
        <w:t xml:space="preserve"> </w:t>
      </w:r>
      <w:r w:rsidR="00C04C49" w:rsidRPr="00CF5343">
        <w:rPr>
          <w:rFonts w:ascii="Calibri" w:hAnsi="Calibri"/>
          <w:color w:val="000000"/>
          <w:sz w:val="20"/>
          <w:szCs w:val="20"/>
          <w:lang w:val="en-AU"/>
        </w:rPr>
        <w:t>and</w:t>
      </w:r>
    </w:p>
    <w:p w14:paraId="5CF30ADF" w14:textId="3883D87A" w:rsidR="00F86757" w:rsidRPr="00C04C49" w:rsidRDefault="005D4253" w:rsidP="009349B6">
      <w:pPr>
        <w:pStyle w:val="ListParagraph"/>
        <w:numPr>
          <w:ilvl w:val="0"/>
          <w:numId w:val="11"/>
        </w:numPr>
        <w:spacing w:after="80" w:afterAutospacing="0"/>
        <w:jc w:val="both"/>
        <w:rPr>
          <w:rFonts w:ascii="Calibri" w:hAnsi="Calibri"/>
          <w:color w:val="000000"/>
          <w:sz w:val="20"/>
          <w:szCs w:val="20"/>
          <w:lang w:val="en-AU"/>
        </w:rPr>
      </w:pPr>
      <w:r>
        <w:rPr>
          <w:rFonts w:ascii="Calibri" w:hAnsi="Calibri"/>
          <w:color w:val="000000"/>
          <w:sz w:val="20"/>
          <w:szCs w:val="20"/>
          <w:lang w:val="en-AU"/>
        </w:rPr>
        <w:t xml:space="preserve">A series of </w:t>
      </w:r>
      <w:r w:rsidR="00915992">
        <w:rPr>
          <w:rFonts w:ascii="Calibri" w:hAnsi="Calibri"/>
          <w:color w:val="000000"/>
          <w:sz w:val="20"/>
          <w:szCs w:val="20"/>
          <w:lang w:val="en-AU"/>
        </w:rPr>
        <w:t xml:space="preserve">thirteen </w:t>
      </w:r>
      <w:r>
        <w:rPr>
          <w:rFonts w:ascii="Calibri" w:hAnsi="Calibri"/>
          <w:color w:val="000000"/>
          <w:sz w:val="20"/>
          <w:szCs w:val="20"/>
          <w:lang w:val="en-AU"/>
        </w:rPr>
        <w:t>secondments</w:t>
      </w:r>
      <w:r w:rsidR="00915992">
        <w:rPr>
          <w:rFonts w:ascii="Calibri" w:hAnsi="Calibri"/>
          <w:color w:val="000000"/>
          <w:sz w:val="20"/>
          <w:szCs w:val="20"/>
          <w:lang w:val="en-AU"/>
        </w:rPr>
        <w:t xml:space="preserve"> between the iXc and external innovation actors (</w:t>
      </w:r>
      <w:r w:rsidR="006C09B7" w:rsidRPr="00C04C49">
        <w:rPr>
          <w:rFonts w:ascii="Calibri" w:hAnsi="Calibri"/>
          <w:color w:val="000000"/>
          <w:sz w:val="20"/>
          <w:szCs w:val="20"/>
          <w:lang w:val="en-GB"/>
        </w:rPr>
        <w:t xml:space="preserve">including individuals from </w:t>
      </w:r>
      <w:r w:rsidR="00F62F6F">
        <w:rPr>
          <w:rFonts w:ascii="Calibri" w:hAnsi="Calibri"/>
          <w:color w:val="000000"/>
          <w:sz w:val="20"/>
          <w:szCs w:val="20"/>
          <w:lang w:val="en-GB"/>
        </w:rPr>
        <w:t>Intel</w:t>
      </w:r>
      <w:r w:rsidR="00F34196">
        <w:rPr>
          <w:rFonts w:ascii="Calibri" w:hAnsi="Calibri"/>
          <w:color w:val="000000"/>
          <w:sz w:val="20"/>
          <w:szCs w:val="20"/>
          <w:lang w:val="en-GB"/>
        </w:rPr>
        <w:t xml:space="preserve"> Corp</w:t>
      </w:r>
      <w:r w:rsidR="00F62F6F">
        <w:rPr>
          <w:rFonts w:ascii="Calibri" w:hAnsi="Calibri"/>
          <w:color w:val="000000"/>
          <w:sz w:val="20"/>
          <w:szCs w:val="20"/>
          <w:lang w:val="en-GB"/>
        </w:rPr>
        <w:t>, CSIRO,</w:t>
      </w:r>
      <w:r w:rsidR="00F34196">
        <w:rPr>
          <w:rFonts w:ascii="Calibri" w:hAnsi="Calibri"/>
          <w:color w:val="000000"/>
          <w:sz w:val="20"/>
          <w:szCs w:val="20"/>
          <w:lang w:val="en-GB"/>
        </w:rPr>
        <w:t xml:space="preserve"> Geoscience Australia,</w:t>
      </w:r>
      <w:r w:rsidR="00F62F6F">
        <w:rPr>
          <w:rFonts w:ascii="Calibri" w:hAnsi="Calibri"/>
          <w:color w:val="000000"/>
          <w:sz w:val="20"/>
          <w:szCs w:val="20"/>
          <w:lang w:val="en-GB"/>
        </w:rPr>
        <w:t xml:space="preserve"> </w:t>
      </w:r>
      <w:r w:rsidR="006C09B7" w:rsidRPr="00C04C49">
        <w:rPr>
          <w:rFonts w:ascii="Calibri" w:hAnsi="Calibri"/>
          <w:color w:val="000000"/>
          <w:sz w:val="20"/>
          <w:szCs w:val="20"/>
          <w:lang w:val="en-GB"/>
        </w:rPr>
        <w:t>GSMA</w:t>
      </w:r>
      <w:r w:rsidR="00BE5522">
        <w:rPr>
          <w:rFonts w:ascii="Calibri" w:hAnsi="Calibri"/>
          <w:color w:val="000000"/>
          <w:sz w:val="20"/>
          <w:szCs w:val="20"/>
          <w:lang w:val="en-GB"/>
        </w:rPr>
        <w:t>,</w:t>
      </w:r>
      <w:r w:rsidR="006C09B7" w:rsidRPr="00C04C49">
        <w:rPr>
          <w:rFonts w:ascii="Calibri" w:hAnsi="Calibri"/>
          <w:color w:val="000000"/>
          <w:sz w:val="20"/>
          <w:szCs w:val="20"/>
          <w:lang w:val="en-GB"/>
        </w:rPr>
        <w:t xml:space="preserve"> the </w:t>
      </w:r>
      <w:r w:rsidR="00EA696C">
        <w:rPr>
          <w:rFonts w:ascii="Calibri" w:hAnsi="Calibri"/>
          <w:color w:val="000000"/>
          <w:sz w:val="20"/>
          <w:szCs w:val="20"/>
          <w:lang w:val="en-GB"/>
        </w:rPr>
        <w:t>European Union</w:t>
      </w:r>
      <w:r w:rsidR="00F62F6F">
        <w:rPr>
          <w:rFonts w:ascii="Calibri" w:hAnsi="Calibri"/>
          <w:color w:val="000000"/>
          <w:sz w:val="20"/>
          <w:szCs w:val="20"/>
          <w:lang w:val="en-GB"/>
        </w:rPr>
        <w:t>,</w:t>
      </w:r>
      <w:r w:rsidR="00F62F6F" w:rsidRPr="00F62F6F">
        <w:rPr>
          <w:rFonts w:ascii="Calibri" w:hAnsi="Calibri"/>
          <w:color w:val="000000"/>
          <w:sz w:val="20"/>
          <w:szCs w:val="20"/>
          <w:lang w:val="en-GB"/>
        </w:rPr>
        <w:t xml:space="preserve"> </w:t>
      </w:r>
      <w:r w:rsidR="00F62F6F">
        <w:rPr>
          <w:rFonts w:ascii="Calibri" w:hAnsi="Calibri"/>
          <w:color w:val="000000"/>
          <w:sz w:val="20"/>
          <w:szCs w:val="20"/>
          <w:lang w:val="en-GB"/>
        </w:rPr>
        <w:t xml:space="preserve">and </w:t>
      </w:r>
      <w:r w:rsidR="00C47AE7">
        <w:rPr>
          <w:rFonts w:ascii="Calibri" w:hAnsi="Calibri"/>
          <w:color w:val="000000"/>
          <w:sz w:val="20"/>
          <w:szCs w:val="20"/>
          <w:lang w:val="en-GB"/>
        </w:rPr>
        <w:t>R4D</w:t>
      </w:r>
      <w:r w:rsidR="00915992">
        <w:rPr>
          <w:rFonts w:ascii="Calibri" w:hAnsi="Calibri"/>
          <w:color w:val="000000"/>
          <w:sz w:val="20"/>
          <w:szCs w:val="20"/>
          <w:lang w:val="en-GB"/>
        </w:rPr>
        <w:t xml:space="preserve">) </w:t>
      </w:r>
      <w:r w:rsidR="00915992">
        <w:rPr>
          <w:rFonts w:ascii="Calibri" w:hAnsi="Calibri"/>
          <w:color w:val="000000"/>
          <w:sz w:val="20"/>
          <w:szCs w:val="20"/>
          <w:lang w:val="en-AU"/>
        </w:rPr>
        <w:t xml:space="preserve">which supported direct learning and exchange </w:t>
      </w:r>
      <w:r w:rsidR="00915992" w:rsidRPr="00C04C49">
        <w:rPr>
          <w:rFonts w:ascii="Calibri" w:hAnsi="Calibri"/>
          <w:color w:val="000000"/>
          <w:sz w:val="20"/>
          <w:szCs w:val="20"/>
          <w:lang w:val="en-AU"/>
        </w:rPr>
        <w:t>a</w:t>
      </w:r>
      <w:r w:rsidR="00915992">
        <w:rPr>
          <w:rFonts w:ascii="Calibri" w:hAnsi="Calibri"/>
          <w:color w:val="000000"/>
          <w:sz w:val="20"/>
          <w:szCs w:val="20"/>
          <w:lang w:val="en-AU"/>
        </w:rPr>
        <w:t>round</w:t>
      </w:r>
      <w:r w:rsidR="00915992" w:rsidRPr="00C04C49">
        <w:rPr>
          <w:rFonts w:ascii="Calibri" w:hAnsi="Calibri"/>
          <w:color w:val="000000"/>
          <w:sz w:val="20"/>
          <w:szCs w:val="20"/>
          <w:lang w:val="en-AU"/>
        </w:rPr>
        <w:t xml:space="preserve"> innovation approaches and </w:t>
      </w:r>
      <w:r w:rsidR="00915992">
        <w:rPr>
          <w:rFonts w:ascii="Calibri" w:hAnsi="Calibri"/>
          <w:color w:val="000000"/>
          <w:sz w:val="20"/>
          <w:szCs w:val="20"/>
          <w:lang w:val="en-AU"/>
        </w:rPr>
        <w:t xml:space="preserve">priority </w:t>
      </w:r>
      <w:r w:rsidR="00915992" w:rsidRPr="00C04C49">
        <w:rPr>
          <w:rFonts w:ascii="Calibri" w:hAnsi="Calibri"/>
          <w:color w:val="000000"/>
          <w:sz w:val="20"/>
          <w:szCs w:val="20"/>
          <w:lang w:val="en-AU"/>
        </w:rPr>
        <w:t>thematic areas</w:t>
      </w:r>
      <w:r w:rsidR="00CF5343">
        <w:rPr>
          <w:rFonts w:ascii="Calibri" w:hAnsi="Calibri"/>
          <w:color w:val="000000"/>
          <w:sz w:val="20"/>
          <w:szCs w:val="20"/>
          <w:lang w:val="en-AU"/>
        </w:rPr>
        <w:t>.</w:t>
      </w:r>
    </w:p>
    <w:p w14:paraId="08A27AFD" w14:textId="4E049791" w:rsidR="006774D1" w:rsidRPr="00763604" w:rsidRDefault="00561BEB" w:rsidP="001F2786">
      <w:pPr>
        <w:spacing w:after="80"/>
        <w:jc w:val="both"/>
        <w:rPr>
          <w:rFonts w:ascii="Calibri" w:hAnsi="Calibri"/>
          <w:color w:val="000000"/>
          <w:sz w:val="20"/>
          <w:szCs w:val="20"/>
          <w:lang w:val="en-AU"/>
        </w:rPr>
      </w:pPr>
      <w:r w:rsidRPr="00370CEF">
        <w:rPr>
          <w:rFonts w:ascii="Calibri" w:hAnsi="Calibri"/>
          <w:color w:val="000000"/>
          <w:sz w:val="20"/>
          <w:szCs w:val="20"/>
          <w:lang w:val="en-AU"/>
        </w:rPr>
        <w:t xml:space="preserve">Through these activities, the </w:t>
      </w:r>
      <w:r w:rsidR="005C4AEB" w:rsidRPr="00370CEF">
        <w:rPr>
          <w:rFonts w:ascii="Calibri" w:hAnsi="Calibri"/>
          <w:color w:val="000000"/>
          <w:sz w:val="20"/>
          <w:szCs w:val="20"/>
          <w:lang w:val="en-AU"/>
        </w:rPr>
        <w:t xml:space="preserve">iXc </w:t>
      </w:r>
      <w:r w:rsidRPr="00370CEF">
        <w:rPr>
          <w:rFonts w:ascii="Calibri" w:hAnsi="Calibri"/>
          <w:color w:val="000000"/>
          <w:sz w:val="20"/>
          <w:szCs w:val="20"/>
          <w:lang w:val="en-AU"/>
        </w:rPr>
        <w:t xml:space="preserve">framed </w:t>
      </w:r>
      <w:r w:rsidR="00CF7414" w:rsidRPr="00370CEF">
        <w:rPr>
          <w:rFonts w:ascii="Calibri" w:hAnsi="Calibri"/>
          <w:color w:val="000000"/>
          <w:sz w:val="20"/>
          <w:szCs w:val="20"/>
          <w:lang w:val="en-AU"/>
        </w:rPr>
        <w:t xml:space="preserve">a vision </w:t>
      </w:r>
      <w:r w:rsidR="007F1C9A" w:rsidRPr="00370CEF">
        <w:rPr>
          <w:rFonts w:ascii="Calibri" w:hAnsi="Calibri"/>
          <w:color w:val="000000"/>
          <w:sz w:val="20"/>
          <w:szCs w:val="20"/>
          <w:lang w:val="en-AU"/>
        </w:rPr>
        <w:t>which was for ‘Australian Aid to be a recognised leader in innovation, delivering new and cost-</w:t>
      </w:r>
      <w:r w:rsidR="007F1C9A" w:rsidRPr="00BE5522">
        <w:rPr>
          <w:rFonts w:ascii="Calibri" w:hAnsi="Calibri"/>
          <w:color w:val="000000"/>
          <w:sz w:val="20"/>
          <w:szCs w:val="20"/>
          <w:lang w:val="en-AU"/>
        </w:rPr>
        <w:t>effective solutions to pressing development challenges to imp</w:t>
      </w:r>
      <w:r w:rsidR="008D4D03" w:rsidRPr="00BE5522">
        <w:rPr>
          <w:rFonts w:ascii="Calibri" w:hAnsi="Calibri"/>
          <w:color w:val="000000"/>
          <w:sz w:val="20"/>
          <w:szCs w:val="20"/>
          <w:lang w:val="en-AU"/>
        </w:rPr>
        <w:t>r</w:t>
      </w:r>
      <w:r w:rsidR="007F1C9A" w:rsidRPr="00BE5522">
        <w:rPr>
          <w:rFonts w:ascii="Calibri" w:hAnsi="Calibri"/>
          <w:color w:val="000000"/>
          <w:sz w:val="20"/>
          <w:szCs w:val="20"/>
          <w:lang w:val="en-AU"/>
        </w:rPr>
        <w:t>ove the lives of people in the Indo-Pacific region’.</w:t>
      </w:r>
      <w:r w:rsidR="0003385D" w:rsidRPr="00BE5522">
        <w:rPr>
          <w:rFonts w:ascii="Calibri" w:hAnsi="Calibri"/>
          <w:color w:val="000000"/>
          <w:sz w:val="20"/>
          <w:szCs w:val="20"/>
          <w:lang w:val="en-AU"/>
        </w:rPr>
        <w:t xml:space="preserve"> </w:t>
      </w:r>
      <w:r w:rsidR="00CF7414" w:rsidRPr="00BE5522">
        <w:rPr>
          <w:rFonts w:ascii="Calibri" w:hAnsi="Calibri"/>
          <w:color w:val="000000"/>
          <w:sz w:val="20"/>
          <w:szCs w:val="20"/>
          <w:lang w:val="en-AU"/>
        </w:rPr>
        <w:t>Specific g</w:t>
      </w:r>
      <w:r w:rsidR="00E73E93" w:rsidRPr="00BE5522">
        <w:rPr>
          <w:rFonts w:ascii="Calibri" w:hAnsi="Calibri"/>
          <w:color w:val="000000"/>
          <w:sz w:val="20"/>
          <w:szCs w:val="20"/>
          <w:lang w:val="en-AU"/>
        </w:rPr>
        <w:t xml:space="preserve">oals for </w:t>
      </w:r>
      <w:r w:rsidR="00C5455E" w:rsidRPr="00BE5522">
        <w:rPr>
          <w:rFonts w:ascii="Calibri" w:hAnsi="Calibri"/>
          <w:color w:val="000000"/>
          <w:sz w:val="20"/>
          <w:szCs w:val="20"/>
          <w:lang w:val="en-AU"/>
        </w:rPr>
        <w:t xml:space="preserve">the iXc’s aid </w:t>
      </w:r>
      <w:r w:rsidR="00E73E93" w:rsidRPr="00BE5522">
        <w:rPr>
          <w:rFonts w:ascii="Calibri" w:hAnsi="Calibri"/>
          <w:color w:val="000000"/>
          <w:sz w:val="20"/>
          <w:szCs w:val="20"/>
          <w:lang w:val="en-AU"/>
        </w:rPr>
        <w:t>work</w:t>
      </w:r>
      <w:r w:rsidRPr="00BE5522">
        <w:rPr>
          <w:rFonts w:ascii="Calibri" w:hAnsi="Calibri"/>
          <w:color w:val="000000"/>
          <w:sz w:val="20"/>
          <w:szCs w:val="20"/>
          <w:lang w:val="en-AU"/>
        </w:rPr>
        <w:t xml:space="preserve"> </w:t>
      </w:r>
      <w:r w:rsidR="00CF7414" w:rsidRPr="00BE5522">
        <w:rPr>
          <w:rFonts w:ascii="Calibri" w:hAnsi="Calibri"/>
          <w:color w:val="000000"/>
          <w:sz w:val="20"/>
          <w:szCs w:val="20"/>
          <w:lang w:val="en-AU"/>
        </w:rPr>
        <w:t xml:space="preserve">were set out </w:t>
      </w:r>
      <w:r w:rsidRPr="00BE5522">
        <w:rPr>
          <w:rFonts w:ascii="Calibri" w:hAnsi="Calibri"/>
          <w:color w:val="000000"/>
          <w:sz w:val="20"/>
          <w:szCs w:val="20"/>
          <w:lang w:val="en-AU"/>
        </w:rPr>
        <w:t xml:space="preserve">around </w:t>
      </w:r>
      <w:r w:rsidR="005C4AEB" w:rsidRPr="00BE5522">
        <w:rPr>
          <w:rFonts w:ascii="Calibri" w:hAnsi="Calibri"/>
          <w:color w:val="000000"/>
          <w:sz w:val="20"/>
          <w:szCs w:val="20"/>
          <w:lang w:val="en-AU"/>
        </w:rPr>
        <w:t xml:space="preserve">three overarching </w:t>
      </w:r>
      <w:r w:rsidR="004A7BE1" w:rsidRPr="00BE5522">
        <w:rPr>
          <w:rFonts w:ascii="Calibri" w:hAnsi="Calibri"/>
          <w:color w:val="000000"/>
          <w:sz w:val="20"/>
          <w:szCs w:val="20"/>
          <w:lang w:val="en-AU"/>
        </w:rPr>
        <w:t>themes</w:t>
      </w:r>
      <w:r w:rsidR="005C4AEB" w:rsidRPr="00BE5522">
        <w:rPr>
          <w:rFonts w:ascii="Calibri" w:hAnsi="Calibri"/>
          <w:color w:val="000000"/>
          <w:sz w:val="20"/>
          <w:szCs w:val="20"/>
          <w:lang w:val="en-AU"/>
        </w:rPr>
        <w:t xml:space="preserve">: i) </w:t>
      </w:r>
      <w:r w:rsidR="005C4AEB" w:rsidRPr="00BE5522">
        <w:rPr>
          <w:rFonts w:ascii="Calibri" w:hAnsi="Calibri"/>
          <w:b/>
          <w:color w:val="000000"/>
          <w:sz w:val="20"/>
          <w:szCs w:val="20"/>
          <w:lang w:val="en-AU"/>
        </w:rPr>
        <w:t>Experiment</w:t>
      </w:r>
      <w:r w:rsidR="005C4AEB" w:rsidRPr="00BE5522">
        <w:rPr>
          <w:rFonts w:ascii="Calibri" w:hAnsi="Calibri"/>
          <w:color w:val="000000"/>
          <w:sz w:val="20"/>
          <w:szCs w:val="20"/>
          <w:lang w:val="en-AU"/>
        </w:rPr>
        <w:t xml:space="preserve"> - Designing and demonstrating new models for the global sourcing and testing of high impact innovations; ii) </w:t>
      </w:r>
      <w:r w:rsidR="005C4AEB" w:rsidRPr="00BE5522">
        <w:rPr>
          <w:rFonts w:ascii="Calibri" w:eastAsia="Times New Roman" w:hAnsi="Calibri" w:cs="Times New Roman"/>
          <w:b/>
          <w:color w:val="000000"/>
          <w:sz w:val="20"/>
          <w:szCs w:val="20"/>
          <w:lang w:val="en-AU"/>
        </w:rPr>
        <w:t>Partner</w:t>
      </w:r>
      <w:r w:rsidR="005C4AEB" w:rsidRPr="00BE5522">
        <w:rPr>
          <w:rFonts w:ascii="Calibri" w:hAnsi="Calibri"/>
          <w:color w:val="000000"/>
          <w:sz w:val="20"/>
          <w:szCs w:val="20"/>
          <w:lang w:val="en-AU"/>
        </w:rPr>
        <w:t xml:space="preserve"> - Exploring new collaborations to help design, finance and accelerate the scaling of high impact innovations; and iii) </w:t>
      </w:r>
      <w:r w:rsidR="005C4AEB" w:rsidRPr="00BE5522">
        <w:rPr>
          <w:rFonts w:ascii="Calibri" w:hAnsi="Calibri"/>
          <w:b/>
          <w:color w:val="000000"/>
          <w:sz w:val="20"/>
          <w:szCs w:val="20"/>
          <w:lang w:val="en-AU"/>
        </w:rPr>
        <w:t>Learn</w:t>
      </w:r>
      <w:r w:rsidR="005C4AEB" w:rsidRPr="00BE5522">
        <w:rPr>
          <w:rFonts w:ascii="Calibri" w:hAnsi="Calibri"/>
          <w:color w:val="000000"/>
          <w:sz w:val="20"/>
          <w:szCs w:val="20"/>
          <w:lang w:val="en-AU"/>
        </w:rPr>
        <w:t xml:space="preserve"> - Strengthening our innovation mindset through understanding and building capabilities to embed innovation</w:t>
      </w:r>
      <w:r w:rsidR="008D4D03" w:rsidRPr="00BE5522">
        <w:rPr>
          <w:rFonts w:ascii="Calibri" w:hAnsi="Calibri"/>
          <w:color w:val="000000"/>
          <w:sz w:val="20"/>
          <w:szCs w:val="20"/>
          <w:lang w:val="en-AU"/>
        </w:rPr>
        <w:t>. In 2016,</w:t>
      </w:r>
      <w:r w:rsidR="005D649F" w:rsidRPr="00BE5522">
        <w:rPr>
          <w:rFonts w:ascii="Calibri" w:hAnsi="Calibri"/>
          <w:color w:val="000000"/>
          <w:sz w:val="20"/>
          <w:szCs w:val="20"/>
          <w:lang w:val="en-AU"/>
        </w:rPr>
        <w:t xml:space="preserve"> </w:t>
      </w:r>
      <w:r w:rsidR="008D4D03" w:rsidRPr="00BE5522">
        <w:rPr>
          <w:rFonts w:ascii="Calibri" w:hAnsi="Calibri"/>
          <w:color w:val="000000"/>
          <w:sz w:val="20"/>
          <w:szCs w:val="20"/>
          <w:lang w:val="en-AU"/>
        </w:rPr>
        <w:t>the iXc also became formally responsible for delivering the contemporaneous DFAT Innovation Strategy</w:t>
      </w:r>
      <w:r w:rsidR="008D4D03" w:rsidRPr="00370CEF">
        <w:rPr>
          <w:rFonts w:ascii="Calibri" w:hAnsi="Calibri"/>
          <w:color w:val="000000"/>
          <w:sz w:val="20"/>
          <w:szCs w:val="20"/>
          <w:lang w:val="en-AU"/>
        </w:rPr>
        <w:t xml:space="preserve"> 2015</w:t>
      </w:r>
      <w:r w:rsidR="008D4D03" w:rsidRPr="00370CEF">
        <w:rPr>
          <w:rStyle w:val="FootnoteReference"/>
          <w:rFonts w:ascii="Calibri" w:hAnsi="Calibri"/>
          <w:color w:val="000000"/>
          <w:sz w:val="20"/>
          <w:szCs w:val="20"/>
          <w:lang w:val="en-AU"/>
        </w:rPr>
        <w:footnoteReference w:id="5"/>
      </w:r>
      <w:r w:rsidR="008D4D03" w:rsidRPr="00370CEF">
        <w:rPr>
          <w:rFonts w:ascii="Calibri" w:hAnsi="Calibri"/>
          <w:color w:val="000000"/>
          <w:sz w:val="20"/>
          <w:szCs w:val="20"/>
          <w:lang w:val="en-AU"/>
        </w:rPr>
        <w:t xml:space="preserve">  which </w:t>
      </w:r>
      <w:r w:rsidR="00AE0C28" w:rsidRPr="00370CEF">
        <w:rPr>
          <w:rFonts w:ascii="Calibri" w:hAnsi="Calibri"/>
          <w:color w:val="000000"/>
          <w:sz w:val="20"/>
          <w:szCs w:val="20"/>
          <w:lang w:val="en-AU"/>
        </w:rPr>
        <w:t xml:space="preserve">was </w:t>
      </w:r>
      <w:r w:rsidR="008D4D03" w:rsidRPr="00370CEF">
        <w:rPr>
          <w:rFonts w:ascii="Calibri" w:hAnsi="Calibri"/>
          <w:color w:val="000000"/>
          <w:sz w:val="20"/>
          <w:szCs w:val="20"/>
          <w:lang w:val="en-AU"/>
        </w:rPr>
        <w:t xml:space="preserve">focused on building innovation capability across the </w:t>
      </w:r>
      <w:r w:rsidR="008D4D03" w:rsidRPr="00370CEF">
        <w:rPr>
          <w:rFonts w:ascii="Calibri" w:hAnsi="Calibri"/>
          <w:color w:val="000000"/>
          <w:sz w:val="20"/>
          <w:szCs w:val="20"/>
          <w:lang w:val="en-AU"/>
        </w:rPr>
        <w:lastRenderedPageBreak/>
        <w:t xml:space="preserve">Department through encouraging, sharing, measuring and rewarding innovation, with activities including the first </w:t>
      </w:r>
      <w:hyperlink r:id="rId10" w:history="1">
        <w:r w:rsidR="008D4D03" w:rsidRPr="00370CEF">
          <w:rPr>
            <w:rStyle w:val="Hyperlink"/>
            <w:rFonts w:ascii="Calibri" w:hAnsi="Calibri"/>
            <w:sz w:val="20"/>
            <w:szCs w:val="20"/>
            <w:lang w:val="en-AU"/>
          </w:rPr>
          <w:t>DFAT Ideas Challenge</w:t>
        </w:r>
      </w:hyperlink>
      <w:r w:rsidR="008D4D03" w:rsidRPr="00370CEF">
        <w:rPr>
          <w:rFonts w:ascii="Calibri" w:hAnsi="Calibri"/>
          <w:color w:val="000000"/>
          <w:sz w:val="20"/>
          <w:szCs w:val="20"/>
          <w:lang w:val="en-AU"/>
        </w:rPr>
        <w:t>. This led to the iXc being responsible for implementing two parallel, related strategies.</w:t>
      </w:r>
      <w:r w:rsidR="007F1C9A">
        <w:rPr>
          <w:rFonts w:ascii="Calibri" w:hAnsi="Calibri"/>
          <w:color w:val="000000"/>
          <w:sz w:val="20"/>
          <w:szCs w:val="20"/>
          <w:lang w:val="en-AU"/>
        </w:rPr>
        <w:t xml:space="preserve"> </w:t>
      </w:r>
    </w:p>
    <w:p w14:paraId="4C5F0976" w14:textId="35148D7F" w:rsidR="008403F2" w:rsidRPr="00763604" w:rsidRDefault="00A67848" w:rsidP="001F2786">
      <w:pPr>
        <w:spacing w:after="80"/>
        <w:jc w:val="both"/>
        <w:rPr>
          <w:rFonts w:eastAsia="Times New Roman"/>
          <w:color w:val="000000"/>
          <w:sz w:val="20"/>
          <w:szCs w:val="20"/>
          <w:lang w:val="en-AU"/>
        </w:rPr>
      </w:pPr>
      <w:r w:rsidRPr="00763604">
        <w:rPr>
          <w:rFonts w:ascii="Calibri" w:eastAsia="Times New Roman" w:hAnsi="Calibri"/>
          <w:color w:val="000000"/>
          <w:sz w:val="20"/>
          <w:szCs w:val="20"/>
          <w:lang w:val="en-AU"/>
        </w:rPr>
        <w:t>Despite</w:t>
      </w:r>
      <w:r w:rsidR="00B3548B" w:rsidRPr="00763604">
        <w:rPr>
          <w:rFonts w:ascii="Calibri" w:eastAsia="Times New Roman" w:hAnsi="Calibri"/>
          <w:color w:val="000000"/>
          <w:sz w:val="20"/>
          <w:szCs w:val="20"/>
          <w:lang w:val="en-AU"/>
        </w:rPr>
        <w:t xml:space="preserve"> </w:t>
      </w:r>
      <w:r w:rsidR="00915992">
        <w:rPr>
          <w:rFonts w:ascii="Calibri" w:eastAsia="Times New Roman" w:hAnsi="Calibri"/>
          <w:color w:val="000000"/>
          <w:sz w:val="20"/>
          <w:szCs w:val="20"/>
          <w:lang w:val="en-AU"/>
        </w:rPr>
        <w:t>efforts</w:t>
      </w:r>
      <w:r w:rsidR="00915992" w:rsidRPr="00763604">
        <w:rPr>
          <w:rFonts w:ascii="Calibri" w:eastAsia="Times New Roman" w:hAnsi="Calibri"/>
          <w:color w:val="000000"/>
          <w:sz w:val="20"/>
          <w:szCs w:val="20"/>
          <w:lang w:val="en-AU"/>
        </w:rPr>
        <w:t xml:space="preserve"> </w:t>
      </w:r>
      <w:r w:rsidR="001E29A0" w:rsidRPr="00763604">
        <w:rPr>
          <w:rFonts w:ascii="Calibri" w:eastAsia="Times New Roman" w:hAnsi="Calibri"/>
          <w:color w:val="000000"/>
          <w:sz w:val="20"/>
          <w:szCs w:val="20"/>
          <w:lang w:val="en-AU"/>
        </w:rPr>
        <w:t>to</w:t>
      </w:r>
      <w:r w:rsidR="00B3548B" w:rsidRPr="00763604">
        <w:rPr>
          <w:rFonts w:ascii="Calibri" w:eastAsia="Times New Roman" w:hAnsi="Calibri"/>
          <w:color w:val="000000"/>
          <w:sz w:val="20"/>
          <w:szCs w:val="20"/>
          <w:lang w:val="en-AU"/>
        </w:rPr>
        <w:t xml:space="preserve"> </w:t>
      </w:r>
      <w:r w:rsidR="001E29A0" w:rsidRPr="00763604">
        <w:rPr>
          <w:rFonts w:ascii="Calibri" w:eastAsia="Times New Roman" w:hAnsi="Calibri"/>
          <w:color w:val="000000"/>
          <w:sz w:val="20"/>
          <w:szCs w:val="20"/>
          <w:lang w:val="en-AU"/>
        </w:rPr>
        <w:t xml:space="preserve">clearly </w:t>
      </w:r>
      <w:r w:rsidR="00B3548B" w:rsidRPr="00763604">
        <w:rPr>
          <w:rFonts w:ascii="Calibri" w:eastAsia="Times New Roman" w:hAnsi="Calibri"/>
          <w:color w:val="000000"/>
          <w:sz w:val="20"/>
          <w:szCs w:val="20"/>
          <w:lang w:val="en-AU"/>
        </w:rPr>
        <w:t>define</w:t>
      </w:r>
      <w:r w:rsidR="001E29A0" w:rsidRPr="00763604">
        <w:rPr>
          <w:rFonts w:ascii="Calibri" w:eastAsia="Times New Roman" w:hAnsi="Calibri"/>
          <w:color w:val="000000"/>
          <w:sz w:val="20"/>
          <w:szCs w:val="20"/>
          <w:lang w:val="en-AU"/>
        </w:rPr>
        <w:t xml:space="preserve"> and articulate</w:t>
      </w:r>
      <w:r w:rsidR="00B3548B" w:rsidRPr="00763604">
        <w:rPr>
          <w:rFonts w:ascii="Calibri" w:eastAsia="Times New Roman" w:hAnsi="Calibri"/>
          <w:color w:val="000000"/>
          <w:sz w:val="20"/>
          <w:szCs w:val="20"/>
          <w:lang w:val="en-AU"/>
        </w:rPr>
        <w:t xml:space="preserve"> the iXc’s mission and vision,</w:t>
      </w:r>
      <w:r w:rsidR="001E29A0" w:rsidRPr="00763604">
        <w:rPr>
          <w:rFonts w:ascii="Calibri" w:eastAsia="Times New Roman" w:hAnsi="Calibri"/>
          <w:color w:val="000000"/>
          <w:sz w:val="20"/>
          <w:szCs w:val="20"/>
          <w:lang w:val="en-AU"/>
        </w:rPr>
        <w:t xml:space="preserve"> both internal </w:t>
      </w:r>
      <w:r w:rsidRPr="00763604">
        <w:rPr>
          <w:rFonts w:ascii="Calibri" w:eastAsia="Times New Roman" w:hAnsi="Calibri"/>
          <w:color w:val="000000"/>
          <w:sz w:val="20"/>
          <w:szCs w:val="20"/>
          <w:lang w:val="en-AU"/>
        </w:rPr>
        <w:t xml:space="preserve">and external </w:t>
      </w:r>
      <w:r w:rsidR="001E29A0" w:rsidRPr="00763604">
        <w:rPr>
          <w:rFonts w:ascii="Calibri" w:eastAsia="Times New Roman" w:hAnsi="Calibri"/>
          <w:color w:val="000000"/>
          <w:sz w:val="20"/>
          <w:szCs w:val="20"/>
          <w:lang w:val="en-AU"/>
        </w:rPr>
        <w:t>partners</w:t>
      </w:r>
      <w:r w:rsidRPr="00763604">
        <w:rPr>
          <w:rFonts w:ascii="Calibri" w:eastAsia="Times New Roman" w:hAnsi="Calibri"/>
          <w:color w:val="000000"/>
          <w:sz w:val="20"/>
          <w:szCs w:val="20"/>
          <w:lang w:val="en-AU"/>
        </w:rPr>
        <w:t xml:space="preserve"> </w:t>
      </w:r>
      <w:r w:rsidR="006F5140" w:rsidRPr="00763604">
        <w:rPr>
          <w:rFonts w:ascii="Calibri" w:eastAsia="Times New Roman" w:hAnsi="Calibri"/>
          <w:color w:val="000000"/>
          <w:sz w:val="20"/>
          <w:szCs w:val="20"/>
          <w:lang w:val="en-AU"/>
        </w:rPr>
        <w:t xml:space="preserve">that were interviewed </w:t>
      </w:r>
      <w:r w:rsidR="00915992">
        <w:rPr>
          <w:rFonts w:ascii="Calibri" w:eastAsia="Times New Roman" w:hAnsi="Calibri"/>
          <w:color w:val="000000"/>
          <w:sz w:val="20"/>
          <w:szCs w:val="20"/>
          <w:lang w:val="en-AU"/>
        </w:rPr>
        <w:t xml:space="preserve">as part of this analysis </w:t>
      </w:r>
      <w:r w:rsidR="00B3548B" w:rsidRPr="00763604">
        <w:rPr>
          <w:rFonts w:ascii="Calibri" w:eastAsia="Times New Roman" w:hAnsi="Calibri"/>
          <w:color w:val="000000"/>
          <w:sz w:val="20"/>
          <w:szCs w:val="20"/>
          <w:lang w:val="en-AU"/>
        </w:rPr>
        <w:t>expressed that there was</w:t>
      </w:r>
      <w:r w:rsidR="00915992">
        <w:rPr>
          <w:rFonts w:ascii="Calibri" w:eastAsia="Times New Roman" w:hAnsi="Calibri"/>
          <w:color w:val="000000"/>
          <w:sz w:val="20"/>
          <w:szCs w:val="20"/>
          <w:lang w:val="en-AU"/>
        </w:rPr>
        <w:t xml:space="preserve"> </w:t>
      </w:r>
      <w:r w:rsidR="008403F2" w:rsidRPr="00763604">
        <w:rPr>
          <w:rFonts w:ascii="Calibri" w:eastAsia="Times New Roman" w:hAnsi="Calibri"/>
          <w:color w:val="000000"/>
          <w:sz w:val="20"/>
          <w:szCs w:val="20"/>
          <w:lang w:val="en-AU"/>
        </w:rPr>
        <w:t>a</w:t>
      </w:r>
      <w:r w:rsidR="00380FB6" w:rsidRPr="00763604">
        <w:rPr>
          <w:rFonts w:eastAsia="Times New Roman"/>
          <w:color w:val="000000"/>
          <w:sz w:val="20"/>
          <w:szCs w:val="20"/>
          <w:lang w:val="en-AU"/>
        </w:rPr>
        <w:t xml:space="preserve"> </w:t>
      </w:r>
      <w:r w:rsidR="008403F2" w:rsidRPr="00763604">
        <w:rPr>
          <w:rFonts w:ascii="Calibri" w:eastAsia="Times New Roman" w:hAnsi="Calibri"/>
          <w:color w:val="000000"/>
          <w:sz w:val="20"/>
          <w:szCs w:val="20"/>
          <w:lang w:val="en-AU"/>
        </w:rPr>
        <w:t>lack of clarity</w:t>
      </w:r>
      <w:r w:rsidR="001E29A0" w:rsidRPr="00763604">
        <w:rPr>
          <w:rFonts w:ascii="Calibri" w:eastAsia="Times New Roman" w:hAnsi="Calibri"/>
          <w:color w:val="000000"/>
          <w:sz w:val="20"/>
          <w:szCs w:val="20"/>
          <w:lang w:val="en-AU"/>
        </w:rPr>
        <w:t xml:space="preserve"> </w:t>
      </w:r>
      <w:r w:rsidR="00915992">
        <w:rPr>
          <w:rFonts w:ascii="Calibri" w:eastAsia="Times New Roman" w:hAnsi="Calibri"/>
          <w:color w:val="000000"/>
          <w:sz w:val="20"/>
          <w:szCs w:val="20"/>
          <w:lang w:val="en-AU"/>
        </w:rPr>
        <w:t>around its function:</w:t>
      </w:r>
      <w:r w:rsidR="001E29A0" w:rsidRPr="00763604">
        <w:rPr>
          <w:rFonts w:ascii="Calibri" w:eastAsia="Times New Roman" w:hAnsi="Calibri"/>
          <w:color w:val="000000"/>
          <w:sz w:val="20"/>
          <w:szCs w:val="20"/>
          <w:lang w:val="en-AU"/>
        </w:rPr>
        <w:t xml:space="preserve"> </w:t>
      </w:r>
    </w:p>
    <w:p w14:paraId="74FADF03" w14:textId="011F3D23" w:rsidR="008403F2" w:rsidRPr="00F30D67" w:rsidRDefault="008403F2" w:rsidP="001F2786">
      <w:pPr>
        <w:pStyle w:val="Quote"/>
        <w:rPr>
          <w:color w:val="007B88" w:themeColor="accent1" w:themeShade="BF"/>
          <w:sz w:val="20"/>
          <w:szCs w:val="20"/>
          <w:lang w:val="en-AU"/>
        </w:rPr>
      </w:pPr>
      <w:r w:rsidRPr="006108C8">
        <w:rPr>
          <w:color w:val="007B88" w:themeColor="accent1" w:themeShade="BF"/>
          <w:sz w:val="20"/>
          <w:szCs w:val="20"/>
          <w:lang w:val="en-AU"/>
        </w:rPr>
        <w:t>“</w:t>
      </w:r>
      <w:r w:rsidR="00915992" w:rsidRPr="006108C8">
        <w:rPr>
          <w:color w:val="007B88" w:themeColor="accent1" w:themeShade="BF"/>
          <w:sz w:val="20"/>
          <w:szCs w:val="20"/>
          <w:lang w:val="en-AU"/>
        </w:rPr>
        <w:t>E</w:t>
      </w:r>
      <w:r w:rsidRPr="006108C8">
        <w:rPr>
          <w:color w:val="007B88" w:themeColor="accent1" w:themeShade="BF"/>
          <w:sz w:val="20"/>
          <w:szCs w:val="20"/>
          <w:lang w:val="en-AU"/>
        </w:rPr>
        <w:t xml:space="preserve">arly on, there was confusion of what we were asking and what they could provide… We didn’t really understand what they did either… I think now (after working together), I understand better what they do.” </w:t>
      </w:r>
      <w:r w:rsidRPr="006108C8">
        <w:rPr>
          <w:i w:val="0"/>
          <w:color w:val="007B88" w:themeColor="accent1" w:themeShade="BF"/>
          <w:sz w:val="20"/>
          <w:szCs w:val="20"/>
          <w:lang w:val="en-AU"/>
        </w:rPr>
        <w:t>– DFAT staff</w:t>
      </w:r>
      <w:r w:rsidR="00743032" w:rsidRPr="006108C8">
        <w:rPr>
          <w:i w:val="0"/>
          <w:color w:val="007B88" w:themeColor="accent1" w:themeShade="BF"/>
          <w:sz w:val="20"/>
          <w:szCs w:val="20"/>
          <w:lang w:val="en-AU"/>
        </w:rPr>
        <w:t xml:space="preserve"> on partnering with the iXc</w:t>
      </w:r>
      <w:r w:rsidR="003A6281">
        <w:rPr>
          <w:i w:val="0"/>
          <w:color w:val="007B88" w:themeColor="accent1" w:themeShade="BF"/>
          <w:sz w:val="20"/>
          <w:szCs w:val="20"/>
          <w:lang w:val="en-AU"/>
        </w:rPr>
        <w:t xml:space="preserve"> </w:t>
      </w:r>
    </w:p>
    <w:p w14:paraId="14CF70FA" w14:textId="31AF03A4" w:rsidR="00915992" w:rsidRDefault="00915992" w:rsidP="001F2786">
      <w:pPr>
        <w:spacing w:after="80"/>
        <w:jc w:val="both"/>
        <w:rPr>
          <w:rFonts w:eastAsia="Times New Roman"/>
          <w:color w:val="000000"/>
          <w:sz w:val="20"/>
          <w:szCs w:val="20"/>
          <w:lang w:val="en-AU"/>
        </w:rPr>
      </w:pPr>
      <w:r w:rsidRPr="00763604">
        <w:rPr>
          <w:rFonts w:ascii="Calibri" w:eastAsia="Times New Roman" w:hAnsi="Calibri"/>
          <w:color w:val="000000"/>
          <w:sz w:val="20"/>
          <w:szCs w:val="20"/>
          <w:lang w:val="en-AU"/>
        </w:rPr>
        <w:t xml:space="preserve">This </w:t>
      </w:r>
      <w:r>
        <w:rPr>
          <w:rFonts w:ascii="Calibri" w:eastAsia="Times New Roman" w:hAnsi="Calibri"/>
          <w:color w:val="000000"/>
          <w:sz w:val="20"/>
          <w:szCs w:val="20"/>
          <w:lang w:val="en-AU"/>
        </w:rPr>
        <w:t xml:space="preserve">is a common challenge faced by new innovation units, and </w:t>
      </w:r>
      <w:r w:rsidRPr="00763604">
        <w:rPr>
          <w:rFonts w:ascii="Calibri" w:eastAsia="Times New Roman" w:hAnsi="Calibri"/>
          <w:color w:val="000000"/>
          <w:sz w:val="20"/>
          <w:szCs w:val="20"/>
          <w:lang w:val="en-AU"/>
        </w:rPr>
        <w:t xml:space="preserve">was </w:t>
      </w:r>
      <w:r>
        <w:rPr>
          <w:rFonts w:ascii="Calibri" w:eastAsia="Times New Roman" w:hAnsi="Calibri"/>
          <w:color w:val="000000"/>
          <w:sz w:val="20"/>
          <w:szCs w:val="20"/>
          <w:lang w:val="en-AU"/>
        </w:rPr>
        <w:t xml:space="preserve">expressed </w:t>
      </w:r>
      <w:r w:rsidRPr="00763604">
        <w:rPr>
          <w:rFonts w:ascii="Calibri" w:eastAsia="Times New Roman" w:hAnsi="Calibri"/>
          <w:color w:val="000000"/>
          <w:sz w:val="20"/>
          <w:szCs w:val="20"/>
          <w:lang w:val="en-AU"/>
        </w:rPr>
        <w:t>at</w:t>
      </w:r>
      <w:r>
        <w:rPr>
          <w:rFonts w:ascii="Calibri" w:eastAsia="Times New Roman" w:hAnsi="Calibri"/>
          <w:color w:val="000000"/>
          <w:sz w:val="20"/>
          <w:szCs w:val="20"/>
          <w:lang w:val="en-AU"/>
        </w:rPr>
        <w:t xml:space="preserve"> both</w:t>
      </w:r>
      <w:r w:rsidRPr="00763604">
        <w:rPr>
          <w:rFonts w:ascii="Calibri" w:eastAsia="Times New Roman" w:hAnsi="Calibri"/>
          <w:color w:val="000000"/>
          <w:sz w:val="20"/>
          <w:szCs w:val="20"/>
          <w:lang w:val="en-AU"/>
        </w:rPr>
        <w:t xml:space="preserve"> the organizational level, as well as in the context of specific programs. For instance, in feedback </w:t>
      </w:r>
      <w:r>
        <w:rPr>
          <w:rFonts w:ascii="Calibri" w:eastAsia="Times New Roman" w:hAnsi="Calibri"/>
          <w:color w:val="000000"/>
          <w:sz w:val="20"/>
          <w:szCs w:val="20"/>
          <w:lang w:val="en-AU"/>
        </w:rPr>
        <w:t xml:space="preserve">collected from country posts </w:t>
      </w:r>
      <w:r w:rsidRPr="00763604">
        <w:rPr>
          <w:rFonts w:ascii="Calibri" w:eastAsia="Times New Roman" w:hAnsi="Calibri"/>
          <w:color w:val="000000"/>
          <w:sz w:val="20"/>
          <w:szCs w:val="20"/>
          <w:lang w:val="en-AU"/>
        </w:rPr>
        <w:t>on</w:t>
      </w:r>
      <w:r>
        <w:rPr>
          <w:rFonts w:ascii="Calibri" w:eastAsia="Times New Roman" w:hAnsi="Calibri"/>
          <w:color w:val="000000"/>
          <w:sz w:val="20"/>
          <w:szCs w:val="20"/>
          <w:lang w:val="en-AU"/>
        </w:rPr>
        <w:t xml:space="preserve"> </w:t>
      </w:r>
      <w:r w:rsidRPr="00763604">
        <w:rPr>
          <w:rFonts w:ascii="Calibri" w:eastAsia="Times New Roman" w:hAnsi="Calibri"/>
          <w:color w:val="000000"/>
          <w:sz w:val="20"/>
          <w:szCs w:val="20"/>
          <w:lang w:val="en-AU"/>
        </w:rPr>
        <w:t xml:space="preserve">the </w:t>
      </w:r>
      <w:r w:rsidRPr="00F15A66">
        <w:rPr>
          <w:rFonts w:ascii="Calibri" w:eastAsia="Calibri" w:hAnsi="Calibri" w:cs="Times New Roman"/>
          <w:sz w:val="20"/>
          <w:szCs w:val="20"/>
          <w:lang w:val="en-GB"/>
        </w:rPr>
        <w:t>Australian Development Accelerator</w:t>
      </w:r>
      <w:r w:rsidRPr="00763604">
        <w:rPr>
          <w:rFonts w:ascii="Calibri" w:eastAsia="Calibri" w:hAnsi="Calibri" w:cs="Times New Roman"/>
          <w:color w:val="000000"/>
          <w:sz w:val="20"/>
          <w:szCs w:val="20"/>
          <w:lang w:val="en-GB"/>
        </w:rPr>
        <w:t xml:space="preserve"> (ADA)</w:t>
      </w:r>
      <w:r w:rsidRPr="00763604">
        <w:rPr>
          <w:rFonts w:ascii="Calibri" w:eastAsia="Times New Roman" w:hAnsi="Calibri"/>
          <w:color w:val="000000"/>
          <w:sz w:val="20"/>
          <w:szCs w:val="20"/>
          <w:lang w:val="en-AU"/>
        </w:rPr>
        <w:t xml:space="preserve">, a common theme emerged around needing more clarity on the iXc’s definition of innovation, the scope of the program, and </w:t>
      </w:r>
      <w:r w:rsidRPr="00763604">
        <w:rPr>
          <w:rFonts w:eastAsia="Times New Roman"/>
          <w:color w:val="000000"/>
          <w:sz w:val="20"/>
          <w:szCs w:val="20"/>
          <w:lang w:val="en-AU"/>
        </w:rPr>
        <w:t xml:space="preserve">the types of support it was able to offer. </w:t>
      </w:r>
    </w:p>
    <w:p w14:paraId="6A239EAE" w14:textId="77777777" w:rsidR="00E341EC" w:rsidRDefault="00C0793F" w:rsidP="001F2786">
      <w:pPr>
        <w:spacing w:after="80"/>
        <w:jc w:val="both"/>
        <w:rPr>
          <w:color w:val="000000"/>
          <w:sz w:val="20"/>
          <w:szCs w:val="20"/>
          <w:lang w:val="en-AU"/>
        </w:rPr>
      </w:pPr>
      <w:r w:rsidRPr="001E2B1A">
        <w:rPr>
          <w:b/>
          <w:color w:val="00A6B6" w:themeColor="accent1"/>
          <w:sz w:val="20"/>
          <w:szCs w:val="20"/>
        </w:rPr>
        <w:t>Recommendations:</w:t>
      </w:r>
      <w:r w:rsidRPr="001E2B1A">
        <w:rPr>
          <w:color w:val="00A6B6" w:themeColor="accent1"/>
          <w:sz w:val="20"/>
          <w:szCs w:val="20"/>
        </w:rPr>
        <w:t xml:space="preserve"> </w:t>
      </w:r>
      <w:r w:rsidR="00EF603C">
        <w:rPr>
          <w:color w:val="000000"/>
          <w:sz w:val="20"/>
          <w:szCs w:val="20"/>
          <w:lang w:val="en-AU"/>
        </w:rPr>
        <w:t xml:space="preserve">Three </w:t>
      </w:r>
      <w:r w:rsidR="00717364">
        <w:rPr>
          <w:color w:val="000000"/>
          <w:sz w:val="20"/>
          <w:szCs w:val="20"/>
          <w:lang w:val="en-AU"/>
        </w:rPr>
        <w:t xml:space="preserve">key </w:t>
      </w:r>
      <w:r w:rsidR="00915992">
        <w:rPr>
          <w:color w:val="000000"/>
          <w:sz w:val="20"/>
          <w:szCs w:val="20"/>
          <w:lang w:val="en-AU"/>
        </w:rPr>
        <w:t>factors appear to have contributed to the uncertainty around the iXc’s</w:t>
      </w:r>
      <w:r w:rsidR="00A6617B">
        <w:rPr>
          <w:color w:val="000000"/>
          <w:sz w:val="20"/>
          <w:szCs w:val="20"/>
          <w:lang w:val="en-AU"/>
        </w:rPr>
        <w:t xml:space="preserve"> vision and</w:t>
      </w:r>
      <w:r w:rsidR="00915992">
        <w:rPr>
          <w:color w:val="000000"/>
          <w:sz w:val="20"/>
          <w:szCs w:val="20"/>
          <w:lang w:val="en-AU"/>
        </w:rPr>
        <w:t xml:space="preserve"> strategy among the wider DFAT community. </w:t>
      </w:r>
      <w:r w:rsidR="00EF603C">
        <w:rPr>
          <w:color w:val="000000"/>
          <w:sz w:val="20"/>
          <w:szCs w:val="20"/>
          <w:lang w:val="en-AU"/>
        </w:rPr>
        <w:t>First, t</w:t>
      </w:r>
      <w:r w:rsidR="00EF603C" w:rsidRPr="00EF603C">
        <w:rPr>
          <w:color w:val="000000"/>
          <w:sz w:val="20"/>
          <w:szCs w:val="20"/>
          <w:lang w:val="en-AU"/>
        </w:rPr>
        <w:t xml:space="preserve">he iXc was given a broad mandate (i.e. without target sectors or types of innovation to focus on) </w:t>
      </w:r>
      <w:r w:rsidR="00EF603C">
        <w:rPr>
          <w:color w:val="000000"/>
          <w:sz w:val="20"/>
          <w:szCs w:val="20"/>
          <w:lang w:val="en-AU"/>
        </w:rPr>
        <w:t>and this led to difficulty in finding clear lines of engagement with DFAT sectoral teams. Second</w:t>
      </w:r>
      <w:r w:rsidR="007C2B39" w:rsidRPr="00763604">
        <w:rPr>
          <w:color w:val="000000"/>
          <w:sz w:val="20"/>
          <w:szCs w:val="20"/>
          <w:lang w:val="en-AU"/>
        </w:rPr>
        <w:t xml:space="preserve">, </w:t>
      </w:r>
      <w:r w:rsidR="00EF603C">
        <w:rPr>
          <w:color w:val="000000"/>
          <w:sz w:val="20"/>
          <w:szCs w:val="20"/>
          <w:lang w:val="en-AU"/>
        </w:rPr>
        <w:t xml:space="preserve">there was </w:t>
      </w:r>
      <w:r w:rsidR="007C2B39" w:rsidRPr="00763604">
        <w:rPr>
          <w:color w:val="000000"/>
          <w:sz w:val="20"/>
          <w:szCs w:val="20"/>
          <w:lang w:val="en-AU"/>
        </w:rPr>
        <w:t>a need for</w:t>
      </w:r>
      <w:r w:rsidR="00A6617B">
        <w:rPr>
          <w:color w:val="000000"/>
          <w:sz w:val="20"/>
          <w:szCs w:val="20"/>
          <w:lang w:val="en-AU"/>
        </w:rPr>
        <w:t xml:space="preserve"> a single, unified vision underpinned by</w:t>
      </w:r>
      <w:r w:rsidR="007C2B39" w:rsidRPr="00763604">
        <w:rPr>
          <w:color w:val="000000"/>
          <w:sz w:val="20"/>
          <w:szCs w:val="20"/>
          <w:lang w:val="en-AU"/>
        </w:rPr>
        <w:t xml:space="preserve"> greater </w:t>
      </w:r>
      <w:r w:rsidR="00915992" w:rsidRPr="00763604">
        <w:rPr>
          <w:color w:val="000000"/>
          <w:sz w:val="20"/>
          <w:szCs w:val="20"/>
          <w:lang w:val="en-AU"/>
        </w:rPr>
        <w:t>de</w:t>
      </w:r>
      <w:r w:rsidR="00915992">
        <w:rPr>
          <w:color w:val="000000"/>
          <w:sz w:val="20"/>
          <w:szCs w:val="20"/>
          <w:lang w:val="en-AU"/>
        </w:rPr>
        <w:t>tail supporting</w:t>
      </w:r>
      <w:r w:rsidR="00915992" w:rsidRPr="00763604">
        <w:rPr>
          <w:color w:val="000000"/>
          <w:sz w:val="20"/>
          <w:szCs w:val="20"/>
          <w:lang w:val="en-AU"/>
        </w:rPr>
        <w:t xml:space="preserve"> </w:t>
      </w:r>
      <w:r w:rsidR="00915992">
        <w:rPr>
          <w:color w:val="000000"/>
          <w:sz w:val="20"/>
          <w:szCs w:val="20"/>
          <w:lang w:val="en-AU"/>
        </w:rPr>
        <w:t>what the</w:t>
      </w:r>
      <w:r w:rsidR="00915992" w:rsidRPr="00763604">
        <w:rPr>
          <w:color w:val="000000"/>
          <w:sz w:val="20"/>
          <w:szCs w:val="20"/>
          <w:lang w:val="en-AU"/>
        </w:rPr>
        <w:t xml:space="preserve"> </w:t>
      </w:r>
      <w:r w:rsidR="007C2B39" w:rsidRPr="00763604">
        <w:rPr>
          <w:color w:val="000000"/>
          <w:sz w:val="20"/>
          <w:szCs w:val="20"/>
          <w:lang w:val="en-AU"/>
        </w:rPr>
        <w:t>strateg</w:t>
      </w:r>
      <w:r w:rsidR="00915992">
        <w:rPr>
          <w:color w:val="000000"/>
          <w:sz w:val="20"/>
          <w:szCs w:val="20"/>
          <w:lang w:val="en-AU"/>
        </w:rPr>
        <w:t>y would look like in practice</w:t>
      </w:r>
      <w:r w:rsidR="00717364">
        <w:rPr>
          <w:color w:val="000000"/>
          <w:sz w:val="20"/>
          <w:szCs w:val="20"/>
          <w:lang w:val="en-AU"/>
        </w:rPr>
        <w:t>. T</w:t>
      </w:r>
      <w:r w:rsidR="00EF603C">
        <w:rPr>
          <w:color w:val="000000"/>
          <w:sz w:val="20"/>
          <w:szCs w:val="20"/>
          <w:lang w:val="en-AU"/>
        </w:rPr>
        <w:t>hird</w:t>
      </w:r>
      <w:r w:rsidR="00C055E9" w:rsidRPr="00763604">
        <w:rPr>
          <w:color w:val="000000"/>
          <w:sz w:val="20"/>
          <w:szCs w:val="20"/>
          <w:lang w:val="en-AU"/>
        </w:rPr>
        <w:t>,</w:t>
      </w:r>
      <w:r w:rsidR="005564EE" w:rsidRPr="00763604">
        <w:rPr>
          <w:color w:val="000000"/>
          <w:sz w:val="20"/>
          <w:szCs w:val="20"/>
          <w:lang w:val="en-AU"/>
        </w:rPr>
        <w:t xml:space="preserve"> </w:t>
      </w:r>
      <w:r w:rsidR="00EF603C">
        <w:rPr>
          <w:color w:val="000000"/>
          <w:sz w:val="20"/>
          <w:szCs w:val="20"/>
          <w:lang w:val="en-AU"/>
        </w:rPr>
        <w:t xml:space="preserve">the iXc would have benefitted from </w:t>
      </w:r>
      <w:r w:rsidR="005564EE" w:rsidRPr="00763604">
        <w:rPr>
          <w:color w:val="000000"/>
          <w:sz w:val="20"/>
          <w:szCs w:val="20"/>
          <w:lang w:val="en-AU"/>
        </w:rPr>
        <w:t>an i</w:t>
      </w:r>
      <w:r w:rsidR="00C055E9" w:rsidRPr="00763604">
        <w:rPr>
          <w:color w:val="000000"/>
          <w:sz w:val="20"/>
          <w:szCs w:val="20"/>
          <w:lang w:val="en-AU"/>
        </w:rPr>
        <w:t>mproved approach to communication.</w:t>
      </w:r>
      <w:r>
        <w:rPr>
          <w:color w:val="000000"/>
          <w:sz w:val="20"/>
          <w:szCs w:val="20"/>
          <w:lang w:val="en-AU"/>
        </w:rPr>
        <w:t xml:space="preserve"> </w:t>
      </w:r>
    </w:p>
    <w:p w14:paraId="3A696453" w14:textId="1892C97C" w:rsidR="008A1F28" w:rsidRPr="00763604" w:rsidRDefault="007110BE" w:rsidP="001F2786">
      <w:pPr>
        <w:spacing w:after="80"/>
        <w:jc w:val="both"/>
        <w:rPr>
          <w:color w:val="000000"/>
          <w:sz w:val="20"/>
          <w:szCs w:val="20"/>
          <w:lang w:val="en-AU"/>
        </w:rPr>
      </w:pPr>
      <w:r w:rsidRPr="00763604">
        <w:rPr>
          <w:color w:val="000000"/>
          <w:sz w:val="20"/>
          <w:szCs w:val="20"/>
          <w:lang w:val="en-AU"/>
        </w:rPr>
        <w:t xml:space="preserve">In sharpening its </w:t>
      </w:r>
      <w:r w:rsidR="00C902C7">
        <w:rPr>
          <w:color w:val="000000"/>
          <w:sz w:val="20"/>
          <w:szCs w:val="20"/>
          <w:lang w:val="en-AU"/>
        </w:rPr>
        <w:t xml:space="preserve">vision and </w:t>
      </w:r>
      <w:r w:rsidRPr="00763604">
        <w:rPr>
          <w:color w:val="000000"/>
          <w:sz w:val="20"/>
          <w:szCs w:val="20"/>
          <w:lang w:val="en-AU"/>
        </w:rPr>
        <w:t>strategic focus, the</w:t>
      </w:r>
      <w:r w:rsidR="0090395E" w:rsidRPr="00763604">
        <w:rPr>
          <w:color w:val="000000"/>
          <w:sz w:val="20"/>
          <w:szCs w:val="20"/>
          <w:lang w:val="en-AU"/>
        </w:rPr>
        <w:t xml:space="preserve"> iXc</w:t>
      </w:r>
      <w:r w:rsidR="00995B9D" w:rsidRPr="00763604">
        <w:rPr>
          <w:color w:val="000000"/>
          <w:sz w:val="20"/>
          <w:szCs w:val="20"/>
          <w:lang w:val="en-AU"/>
        </w:rPr>
        <w:t xml:space="preserve"> should </w:t>
      </w:r>
      <w:r w:rsidRPr="00763604">
        <w:rPr>
          <w:color w:val="000000"/>
          <w:sz w:val="20"/>
          <w:szCs w:val="20"/>
          <w:lang w:val="en-AU"/>
        </w:rPr>
        <w:t>consider</w:t>
      </w:r>
      <w:r w:rsidR="008A1F28" w:rsidRPr="00763604">
        <w:rPr>
          <w:color w:val="000000"/>
          <w:sz w:val="20"/>
          <w:szCs w:val="20"/>
          <w:lang w:val="en-AU"/>
        </w:rPr>
        <w:t xml:space="preserve">: </w:t>
      </w:r>
    </w:p>
    <w:p w14:paraId="501795C0" w14:textId="03A55E15" w:rsidR="007F1C9A" w:rsidRDefault="007F1C9A" w:rsidP="009349B6">
      <w:pPr>
        <w:pStyle w:val="ListParagraph"/>
        <w:numPr>
          <w:ilvl w:val="0"/>
          <w:numId w:val="13"/>
        </w:numPr>
        <w:spacing w:before="0" w:beforeAutospacing="0" w:after="40" w:afterAutospacing="0"/>
        <w:jc w:val="both"/>
        <w:rPr>
          <w:rFonts w:ascii="Calibri" w:hAnsi="Calibri"/>
          <w:color w:val="000000"/>
          <w:sz w:val="20"/>
          <w:szCs w:val="20"/>
          <w:lang w:val="en-AU"/>
        </w:rPr>
      </w:pPr>
      <w:r w:rsidRPr="00A21598">
        <w:rPr>
          <w:rFonts w:ascii="Calibri" w:hAnsi="Calibri"/>
          <w:b/>
          <w:color w:val="000000"/>
          <w:sz w:val="20"/>
          <w:szCs w:val="20"/>
          <w:lang w:val="en-AU"/>
        </w:rPr>
        <w:t>Setting a</w:t>
      </w:r>
      <w:r>
        <w:rPr>
          <w:rFonts w:ascii="Calibri" w:hAnsi="Calibri"/>
          <w:color w:val="000000"/>
          <w:sz w:val="20"/>
          <w:szCs w:val="20"/>
          <w:lang w:val="en-AU"/>
        </w:rPr>
        <w:t xml:space="preserve"> </w:t>
      </w:r>
      <w:r w:rsidRPr="0003385D">
        <w:rPr>
          <w:rFonts w:ascii="Calibri" w:hAnsi="Calibri"/>
          <w:b/>
          <w:color w:val="000000"/>
          <w:sz w:val="20"/>
          <w:szCs w:val="20"/>
          <w:lang w:val="en-AU"/>
        </w:rPr>
        <w:t>single strategy</w:t>
      </w:r>
      <w:r>
        <w:rPr>
          <w:rFonts w:ascii="Calibri" w:hAnsi="Calibri"/>
          <w:color w:val="000000"/>
          <w:sz w:val="20"/>
          <w:szCs w:val="20"/>
          <w:lang w:val="en-AU"/>
        </w:rPr>
        <w:t xml:space="preserve"> that combines internal capability building and external engagement to deliver outcomes for DFAT through innovation</w:t>
      </w:r>
      <w:r w:rsidR="00235012">
        <w:rPr>
          <w:rFonts w:ascii="Calibri" w:hAnsi="Calibri"/>
          <w:color w:val="000000"/>
          <w:sz w:val="20"/>
          <w:szCs w:val="20"/>
          <w:lang w:val="en-AU"/>
        </w:rPr>
        <w:t xml:space="preserve">. This includes clarifying an appropriate </w:t>
      </w:r>
      <w:r w:rsidR="00235012" w:rsidRPr="00A51022">
        <w:rPr>
          <w:rFonts w:ascii="Calibri" w:hAnsi="Calibri"/>
          <w:b/>
          <w:color w:val="000000"/>
          <w:sz w:val="20"/>
          <w:szCs w:val="20"/>
          <w:lang w:val="en-AU"/>
        </w:rPr>
        <w:t>balance between aid</w:t>
      </w:r>
      <w:r w:rsidR="00235012">
        <w:rPr>
          <w:rFonts w:ascii="Calibri" w:hAnsi="Calibri"/>
          <w:b/>
          <w:color w:val="000000"/>
          <w:sz w:val="20"/>
          <w:szCs w:val="20"/>
          <w:lang w:val="en-AU"/>
        </w:rPr>
        <w:t>-oriented innovation programming and internal capacity-building initiatives</w:t>
      </w:r>
      <w:r w:rsidR="00235012" w:rsidRPr="00A51022">
        <w:rPr>
          <w:rFonts w:ascii="Calibri" w:hAnsi="Calibri"/>
          <w:color w:val="000000"/>
          <w:sz w:val="20"/>
          <w:szCs w:val="20"/>
          <w:lang w:val="en-AU"/>
        </w:rPr>
        <w:t xml:space="preserve"> so that</w:t>
      </w:r>
      <w:r w:rsidR="00235012">
        <w:rPr>
          <w:rFonts w:ascii="Calibri" w:hAnsi="Calibri"/>
          <w:color w:val="000000"/>
          <w:sz w:val="20"/>
          <w:szCs w:val="20"/>
          <w:lang w:val="en-AU"/>
        </w:rPr>
        <w:t xml:space="preserve"> the iXc can respond to </w:t>
      </w:r>
      <w:r w:rsidR="00C22800">
        <w:rPr>
          <w:rFonts w:ascii="Calibri" w:hAnsi="Calibri"/>
          <w:color w:val="000000"/>
          <w:sz w:val="20"/>
          <w:szCs w:val="20"/>
          <w:lang w:val="en-AU"/>
        </w:rPr>
        <w:t xml:space="preserve">the </w:t>
      </w:r>
      <w:r w:rsidR="00235012">
        <w:rPr>
          <w:rFonts w:ascii="Calibri" w:hAnsi="Calibri"/>
          <w:color w:val="000000"/>
          <w:sz w:val="20"/>
          <w:szCs w:val="20"/>
          <w:lang w:val="en-AU"/>
        </w:rPr>
        <w:t xml:space="preserve">strategic </w:t>
      </w:r>
      <w:r w:rsidR="00C22800">
        <w:rPr>
          <w:rFonts w:ascii="Calibri" w:hAnsi="Calibri"/>
          <w:color w:val="000000"/>
          <w:sz w:val="20"/>
          <w:szCs w:val="20"/>
          <w:lang w:val="en-AU"/>
        </w:rPr>
        <w:t xml:space="preserve">priority to </w:t>
      </w:r>
      <w:r w:rsidR="00235012">
        <w:rPr>
          <w:rFonts w:ascii="Calibri" w:hAnsi="Calibri"/>
          <w:color w:val="000000"/>
          <w:sz w:val="20"/>
          <w:szCs w:val="20"/>
          <w:lang w:val="en-AU"/>
        </w:rPr>
        <w:t>embed innovation across DFAT, while also grounding innovation tools and approaches in the realities of partner country contexts</w:t>
      </w:r>
      <w:r w:rsidR="00C22800">
        <w:rPr>
          <w:rFonts w:ascii="Calibri" w:hAnsi="Calibri"/>
          <w:color w:val="000000"/>
          <w:sz w:val="20"/>
          <w:szCs w:val="20"/>
          <w:lang w:val="en-AU"/>
        </w:rPr>
        <w:t>;</w:t>
      </w:r>
    </w:p>
    <w:p w14:paraId="1DEB53A1" w14:textId="11E8260F" w:rsidR="004E3542" w:rsidRPr="008B017F" w:rsidRDefault="004E3542" w:rsidP="009349B6">
      <w:pPr>
        <w:pStyle w:val="ListParagraph"/>
        <w:numPr>
          <w:ilvl w:val="0"/>
          <w:numId w:val="13"/>
        </w:numPr>
        <w:spacing w:before="0" w:beforeAutospacing="0" w:after="40" w:afterAutospacing="0"/>
        <w:jc w:val="both"/>
        <w:rPr>
          <w:rFonts w:ascii="Calibri" w:hAnsi="Calibri"/>
          <w:color w:val="000000"/>
          <w:sz w:val="20"/>
          <w:szCs w:val="20"/>
          <w:lang w:val="en-AU"/>
        </w:rPr>
      </w:pPr>
      <w:r w:rsidRPr="00A21598">
        <w:rPr>
          <w:rFonts w:ascii="Calibri" w:hAnsi="Calibri"/>
          <w:b/>
          <w:color w:val="000000"/>
          <w:sz w:val="20"/>
          <w:szCs w:val="20"/>
          <w:lang w:val="en-AU"/>
        </w:rPr>
        <w:t>Draft</w:t>
      </w:r>
      <w:r w:rsidR="008C358C" w:rsidRPr="00A21598">
        <w:rPr>
          <w:rFonts w:ascii="Calibri" w:hAnsi="Calibri"/>
          <w:b/>
          <w:color w:val="000000"/>
          <w:sz w:val="20"/>
          <w:szCs w:val="20"/>
          <w:lang w:val="en-AU"/>
        </w:rPr>
        <w:t>ing</w:t>
      </w:r>
      <w:r w:rsidRPr="00A21598">
        <w:rPr>
          <w:rFonts w:ascii="Calibri" w:hAnsi="Calibri"/>
          <w:b/>
          <w:color w:val="000000"/>
          <w:sz w:val="20"/>
          <w:szCs w:val="20"/>
          <w:lang w:val="en-AU"/>
        </w:rPr>
        <w:t xml:space="preserve"> a Theory</w:t>
      </w:r>
      <w:r w:rsidRPr="009E4C1A">
        <w:rPr>
          <w:rFonts w:ascii="Calibri" w:hAnsi="Calibri"/>
          <w:b/>
          <w:color w:val="000000"/>
          <w:sz w:val="20"/>
          <w:szCs w:val="20"/>
          <w:lang w:val="en-AU"/>
        </w:rPr>
        <w:t xml:space="preserve"> of Change</w:t>
      </w:r>
      <w:r>
        <w:rPr>
          <w:rFonts w:ascii="Calibri" w:hAnsi="Calibri"/>
          <w:color w:val="000000"/>
          <w:sz w:val="20"/>
          <w:szCs w:val="20"/>
          <w:lang w:val="en-AU"/>
        </w:rPr>
        <w:t xml:space="preserve"> </w:t>
      </w:r>
      <w:r w:rsidR="00EF2BC1">
        <w:rPr>
          <w:rFonts w:ascii="Calibri" w:hAnsi="Calibri"/>
          <w:color w:val="000000"/>
          <w:sz w:val="20"/>
          <w:szCs w:val="20"/>
          <w:lang w:val="en-AU"/>
        </w:rPr>
        <w:t>which</w:t>
      </w:r>
      <w:r w:rsidR="00EA5D9A">
        <w:rPr>
          <w:rFonts w:ascii="Calibri" w:hAnsi="Calibri"/>
          <w:color w:val="000000"/>
          <w:sz w:val="20"/>
          <w:szCs w:val="20"/>
          <w:lang w:val="en-AU"/>
        </w:rPr>
        <w:t xml:space="preserve"> articulate</w:t>
      </w:r>
      <w:r w:rsidR="00477C31">
        <w:rPr>
          <w:rFonts w:ascii="Calibri" w:hAnsi="Calibri"/>
          <w:color w:val="000000"/>
          <w:sz w:val="20"/>
          <w:szCs w:val="20"/>
          <w:lang w:val="en-AU"/>
        </w:rPr>
        <w:t>s</w:t>
      </w:r>
      <w:r w:rsidR="00EA5D9A">
        <w:rPr>
          <w:rFonts w:ascii="Calibri" w:hAnsi="Calibri"/>
          <w:color w:val="000000"/>
          <w:sz w:val="20"/>
          <w:szCs w:val="20"/>
          <w:lang w:val="en-AU"/>
        </w:rPr>
        <w:t xml:space="preserve"> a clear relationship between the iXc’s </w:t>
      </w:r>
      <w:r w:rsidR="009B3251">
        <w:rPr>
          <w:rFonts w:ascii="Calibri" w:hAnsi="Calibri"/>
          <w:color w:val="000000"/>
          <w:sz w:val="20"/>
          <w:szCs w:val="20"/>
          <w:lang w:val="en-AU"/>
        </w:rPr>
        <w:t xml:space="preserve">proposed </w:t>
      </w:r>
      <w:r w:rsidR="00EA5D9A">
        <w:rPr>
          <w:rFonts w:ascii="Calibri" w:hAnsi="Calibri"/>
          <w:color w:val="000000"/>
          <w:sz w:val="20"/>
          <w:szCs w:val="20"/>
          <w:lang w:val="en-AU"/>
        </w:rPr>
        <w:t>activities and outcomes</w:t>
      </w:r>
      <w:r w:rsidR="00477C31">
        <w:rPr>
          <w:rFonts w:ascii="Calibri" w:hAnsi="Calibri"/>
          <w:color w:val="000000"/>
          <w:sz w:val="20"/>
          <w:szCs w:val="20"/>
          <w:lang w:val="en-AU"/>
        </w:rPr>
        <w:t xml:space="preserve"> and </w:t>
      </w:r>
      <w:r w:rsidR="007F403B">
        <w:rPr>
          <w:rFonts w:ascii="Calibri" w:hAnsi="Calibri"/>
          <w:color w:val="000000"/>
          <w:sz w:val="20"/>
          <w:szCs w:val="20"/>
          <w:lang w:val="en-AU"/>
        </w:rPr>
        <w:t xml:space="preserve">which </w:t>
      </w:r>
      <w:r w:rsidR="00477C31">
        <w:rPr>
          <w:rFonts w:ascii="Calibri" w:hAnsi="Calibri"/>
          <w:color w:val="000000"/>
          <w:sz w:val="20"/>
          <w:szCs w:val="20"/>
          <w:lang w:val="en-AU"/>
        </w:rPr>
        <w:t>includes specific progress metrics.</w:t>
      </w:r>
      <w:r w:rsidR="00EA5D9A">
        <w:rPr>
          <w:rFonts w:ascii="Calibri" w:hAnsi="Calibri"/>
          <w:color w:val="000000"/>
          <w:sz w:val="20"/>
          <w:szCs w:val="20"/>
          <w:lang w:val="en-AU"/>
        </w:rPr>
        <w:t xml:space="preserve"> The </w:t>
      </w:r>
      <w:r w:rsidR="00EF2BC1">
        <w:rPr>
          <w:rFonts w:ascii="Calibri" w:hAnsi="Calibri"/>
          <w:color w:val="000000"/>
          <w:sz w:val="20"/>
          <w:szCs w:val="20"/>
          <w:lang w:val="en-AU"/>
        </w:rPr>
        <w:t xml:space="preserve">design of the </w:t>
      </w:r>
      <w:r w:rsidR="00EA5D9A">
        <w:rPr>
          <w:rFonts w:ascii="Calibri" w:hAnsi="Calibri"/>
          <w:color w:val="000000"/>
          <w:sz w:val="20"/>
          <w:szCs w:val="20"/>
          <w:lang w:val="en-AU"/>
        </w:rPr>
        <w:t xml:space="preserve">Theory of Change </w:t>
      </w:r>
      <w:r w:rsidR="00477C31">
        <w:rPr>
          <w:rFonts w:ascii="Calibri" w:hAnsi="Calibri"/>
          <w:color w:val="000000"/>
          <w:sz w:val="20"/>
          <w:szCs w:val="20"/>
          <w:lang w:val="en-AU"/>
        </w:rPr>
        <w:t>s</w:t>
      </w:r>
      <w:r w:rsidR="00EA5D9A">
        <w:rPr>
          <w:rFonts w:ascii="Calibri" w:hAnsi="Calibri"/>
          <w:color w:val="000000"/>
          <w:sz w:val="20"/>
          <w:szCs w:val="20"/>
          <w:lang w:val="en-AU"/>
        </w:rPr>
        <w:t xml:space="preserve">hould </w:t>
      </w:r>
      <w:r w:rsidR="00EF2BC1">
        <w:rPr>
          <w:rFonts w:ascii="Calibri" w:hAnsi="Calibri"/>
          <w:color w:val="000000"/>
          <w:sz w:val="20"/>
          <w:szCs w:val="20"/>
          <w:lang w:val="en-AU"/>
        </w:rPr>
        <w:t>also take account of</w:t>
      </w:r>
      <w:r w:rsidR="00EA5D9A">
        <w:rPr>
          <w:rFonts w:ascii="Calibri" w:hAnsi="Calibri"/>
          <w:color w:val="000000"/>
          <w:sz w:val="20"/>
          <w:szCs w:val="20"/>
          <w:lang w:val="en-AU"/>
        </w:rPr>
        <w:t xml:space="preserve"> key risks/potential barriers in order to maximi</w:t>
      </w:r>
      <w:r w:rsidR="007F403B">
        <w:rPr>
          <w:rFonts w:ascii="Calibri" w:hAnsi="Calibri"/>
          <w:color w:val="000000"/>
          <w:sz w:val="20"/>
          <w:szCs w:val="20"/>
          <w:lang w:val="en-AU"/>
        </w:rPr>
        <w:t>z</w:t>
      </w:r>
      <w:r w:rsidR="00EA5D9A">
        <w:rPr>
          <w:rFonts w:ascii="Calibri" w:hAnsi="Calibri"/>
          <w:color w:val="000000"/>
          <w:sz w:val="20"/>
          <w:szCs w:val="20"/>
          <w:lang w:val="en-AU"/>
        </w:rPr>
        <w:t>e the chances of achieving the</w:t>
      </w:r>
      <w:r w:rsidR="00EA5D9A" w:rsidRPr="00EA5D9A">
        <w:rPr>
          <w:rFonts w:ascii="Calibri" w:hAnsi="Calibri"/>
          <w:color w:val="000000"/>
          <w:sz w:val="20"/>
          <w:szCs w:val="20"/>
          <w:lang w:val="en-GB"/>
        </w:rPr>
        <w:t xml:space="preserve"> desired outcomes</w:t>
      </w:r>
      <w:r w:rsidR="008C358C">
        <w:rPr>
          <w:rFonts w:ascii="Calibri" w:hAnsi="Calibri"/>
          <w:color w:val="000000"/>
          <w:sz w:val="20"/>
          <w:szCs w:val="20"/>
          <w:lang w:val="en-AU"/>
        </w:rPr>
        <w:t>;</w:t>
      </w:r>
      <w:r w:rsidR="00235012">
        <w:rPr>
          <w:rFonts w:ascii="Calibri" w:hAnsi="Calibri"/>
          <w:color w:val="000000"/>
          <w:sz w:val="20"/>
          <w:szCs w:val="20"/>
          <w:lang w:val="en-AU"/>
        </w:rPr>
        <w:t xml:space="preserve"> and</w:t>
      </w:r>
    </w:p>
    <w:p w14:paraId="405BB6EB" w14:textId="23367753" w:rsidR="00A51022" w:rsidRPr="00235012" w:rsidRDefault="00033094" w:rsidP="009349B6">
      <w:pPr>
        <w:pStyle w:val="ListParagraph"/>
        <w:numPr>
          <w:ilvl w:val="0"/>
          <w:numId w:val="13"/>
        </w:numPr>
        <w:spacing w:before="0" w:beforeAutospacing="0" w:after="40" w:afterAutospacing="0"/>
        <w:jc w:val="both"/>
        <w:rPr>
          <w:rFonts w:ascii="Calibri" w:hAnsi="Calibri"/>
          <w:color w:val="000000"/>
          <w:sz w:val="20"/>
          <w:szCs w:val="20"/>
          <w:lang w:val="en-AU"/>
        </w:rPr>
      </w:pPr>
      <w:r w:rsidRPr="00CD2AA0">
        <w:rPr>
          <w:rFonts w:ascii="Calibri" w:hAnsi="Calibri"/>
          <w:b/>
          <w:color w:val="000000"/>
          <w:sz w:val="20"/>
          <w:szCs w:val="20"/>
          <w:lang w:val="en-AU"/>
        </w:rPr>
        <w:t>Working alongside existing policy leads</w:t>
      </w:r>
      <w:r w:rsidRPr="00033094">
        <w:rPr>
          <w:rFonts w:ascii="Calibri" w:hAnsi="Calibri"/>
          <w:color w:val="000000"/>
          <w:sz w:val="20"/>
          <w:szCs w:val="20"/>
          <w:lang w:val="en-AU"/>
        </w:rPr>
        <w:t xml:space="preserve"> </w:t>
      </w:r>
      <w:r w:rsidR="004954A8">
        <w:rPr>
          <w:rFonts w:ascii="Calibri" w:hAnsi="Calibri"/>
          <w:color w:val="000000"/>
          <w:sz w:val="20"/>
          <w:szCs w:val="20"/>
          <w:lang w:val="en-AU"/>
        </w:rPr>
        <w:t>as much as</w:t>
      </w:r>
      <w:r w:rsidRPr="00033094">
        <w:rPr>
          <w:rFonts w:ascii="Calibri" w:hAnsi="Calibri"/>
          <w:color w:val="000000"/>
          <w:sz w:val="20"/>
          <w:szCs w:val="20"/>
          <w:lang w:val="en-AU"/>
        </w:rPr>
        <w:t xml:space="preserve"> possible, in order to facilitate internal transfer (or ‘hand off’) of iXc initiatives</w:t>
      </w:r>
      <w:r>
        <w:rPr>
          <w:rFonts w:ascii="Calibri" w:hAnsi="Calibri"/>
          <w:color w:val="000000"/>
          <w:sz w:val="20"/>
          <w:szCs w:val="20"/>
          <w:lang w:val="en-AU"/>
        </w:rPr>
        <w:t xml:space="preserve"> to other areas of DFAT</w:t>
      </w:r>
      <w:r w:rsidR="00AF7AEF">
        <w:rPr>
          <w:rFonts w:ascii="Calibri" w:hAnsi="Calibri"/>
          <w:color w:val="000000"/>
          <w:sz w:val="20"/>
          <w:szCs w:val="20"/>
          <w:lang w:val="en-AU"/>
        </w:rPr>
        <w:t xml:space="preserve">, acknowledging that this </w:t>
      </w:r>
      <w:r w:rsidR="0071263F">
        <w:rPr>
          <w:rFonts w:ascii="Calibri" w:hAnsi="Calibri"/>
          <w:color w:val="000000"/>
          <w:sz w:val="20"/>
          <w:szCs w:val="20"/>
          <w:lang w:val="en-AU"/>
        </w:rPr>
        <w:t>has previously proved</w:t>
      </w:r>
      <w:r w:rsidR="00AF7AEF">
        <w:rPr>
          <w:rFonts w:ascii="Calibri" w:hAnsi="Calibri"/>
          <w:color w:val="000000"/>
          <w:sz w:val="20"/>
          <w:szCs w:val="20"/>
          <w:lang w:val="en-AU"/>
        </w:rPr>
        <w:t xml:space="preserve"> challenging when working in new policy areas (such as future of work) for which there was</w:t>
      </w:r>
      <w:r w:rsidR="00340243">
        <w:rPr>
          <w:rFonts w:ascii="Calibri" w:hAnsi="Calibri"/>
          <w:color w:val="000000"/>
          <w:sz w:val="20"/>
          <w:szCs w:val="20"/>
          <w:lang w:val="en-AU"/>
        </w:rPr>
        <w:t xml:space="preserve"> </w:t>
      </w:r>
      <w:r w:rsidR="00AF7AEF">
        <w:rPr>
          <w:rFonts w:ascii="Calibri" w:hAnsi="Calibri"/>
          <w:color w:val="000000"/>
          <w:sz w:val="20"/>
          <w:szCs w:val="20"/>
          <w:lang w:val="en-AU"/>
        </w:rPr>
        <w:t>no institutional home</w:t>
      </w:r>
      <w:r w:rsidR="0031521C">
        <w:rPr>
          <w:rFonts w:ascii="Calibri" w:hAnsi="Calibri"/>
          <w:color w:val="000000"/>
          <w:sz w:val="20"/>
          <w:szCs w:val="20"/>
          <w:lang w:val="en-AU"/>
        </w:rPr>
        <w:t xml:space="preserve"> at the time</w:t>
      </w:r>
      <w:r w:rsidR="00235012">
        <w:rPr>
          <w:rFonts w:ascii="Calibri" w:hAnsi="Calibri"/>
          <w:color w:val="000000"/>
          <w:sz w:val="20"/>
          <w:szCs w:val="20"/>
          <w:lang w:val="en-AU"/>
        </w:rPr>
        <w:t>.</w:t>
      </w:r>
      <w:r w:rsidR="00CB216A" w:rsidRPr="00235012">
        <w:rPr>
          <w:rFonts w:ascii="Calibri" w:hAnsi="Calibri"/>
          <w:color w:val="000000"/>
          <w:sz w:val="20"/>
          <w:szCs w:val="20"/>
          <w:lang w:val="en-AU"/>
        </w:rPr>
        <w:t xml:space="preserve"> </w:t>
      </w:r>
    </w:p>
    <w:p w14:paraId="6896D7AB" w14:textId="06D2D9DE" w:rsidR="000367BC" w:rsidRPr="005F3235" w:rsidRDefault="00255C47" w:rsidP="001F2786">
      <w:pPr>
        <w:spacing w:after="80"/>
        <w:jc w:val="both"/>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 xml:space="preserve">In terms of </w:t>
      </w:r>
      <w:r w:rsidRPr="005F3235">
        <w:rPr>
          <w:rFonts w:ascii="Calibri" w:eastAsia="Times New Roman" w:hAnsi="Calibri" w:cs="Times New Roman"/>
          <w:color w:val="000000"/>
          <w:sz w:val="20"/>
          <w:szCs w:val="20"/>
          <w:lang w:val="en-AU"/>
        </w:rPr>
        <w:t xml:space="preserve">communication, </w:t>
      </w:r>
      <w:r w:rsidR="00BA2DCF" w:rsidRPr="005F3235">
        <w:rPr>
          <w:rFonts w:ascii="Calibri" w:eastAsia="Times New Roman" w:hAnsi="Calibri" w:cs="Times New Roman"/>
          <w:color w:val="000000"/>
          <w:sz w:val="20"/>
          <w:szCs w:val="20"/>
          <w:lang w:val="en-AU"/>
        </w:rPr>
        <w:t xml:space="preserve">the iXc </w:t>
      </w:r>
      <w:r w:rsidR="002932C6" w:rsidRPr="005F3235">
        <w:rPr>
          <w:rFonts w:ascii="Calibri" w:eastAsia="Times New Roman" w:hAnsi="Calibri" w:cs="Times New Roman"/>
          <w:color w:val="000000"/>
          <w:sz w:val="20"/>
          <w:szCs w:val="20"/>
          <w:lang w:val="en-AU"/>
        </w:rPr>
        <w:t>invested</w:t>
      </w:r>
      <w:r w:rsidR="00BA2DCF" w:rsidRPr="005F3235">
        <w:rPr>
          <w:rFonts w:ascii="Calibri" w:eastAsia="Times New Roman" w:hAnsi="Calibri" w:cs="Times New Roman"/>
          <w:color w:val="000000"/>
          <w:sz w:val="20"/>
          <w:szCs w:val="20"/>
          <w:lang w:val="en-AU"/>
        </w:rPr>
        <w:t xml:space="preserve"> predominantly on externally-facing messaging for the Australian taxpayer and the global development community more broadly, through </w:t>
      </w:r>
      <w:r w:rsidR="009B5E1F" w:rsidRPr="005F3235">
        <w:rPr>
          <w:rFonts w:ascii="Calibri" w:eastAsia="Times New Roman" w:hAnsi="Calibri" w:cs="Times New Roman"/>
          <w:color w:val="000000"/>
          <w:sz w:val="20"/>
          <w:szCs w:val="20"/>
          <w:lang w:val="en-AU"/>
        </w:rPr>
        <w:t xml:space="preserve">the </w:t>
      </w:r>
      <w:hyperlink r:id="rId11" w:history="1">
        <w:r w:rsidR="009B5E1F" w:rsidRPr="005F3235">
          <w:rPr>
            <w:rStyle w:val="Hyperlink"/>
            <w:rFonts w:ascii="Calibri" w:eastAsia="Times New Roman" w:hAnsi="Calibri" w:cs="Times New Roman"/>
            <w:sz w:val="20"/>
            <w:szCs w:val="20"/>
            <w:lang w:val="en-AU"/>
          </w:rPr>
          <w:t xml:space="preserve">iXc </w:t>
        </w:r>
        <w:r w:rsidR="00BA2DCF" w:rsidRPr="005F3235">
          <w:rPr>
            <w:rStyle w:val="Hyperlink"/>
            <w:rFonts w:ascii="Calibri" w:eastAsia="Times New Roman" w:hAnsi="Calibri" w:cs="Times New Roman"/>
            <w:sz w:val="20"/>
            <w:szCs w:val="20"/>
            <w:lang w:val="en-AU"/>
          </w:rPr>
          <w:t>website</w:t>
        </w:r>
      </w:hyperlink>
      <w:r w:rsidR="00BA2DCF" w:rsidRPr="005F3235">
        <w:rPr>
          <w:rFonts w:ascii="Calibri" w:eastAsia="Times New Roman" w:hAnsi="Calibri" w:cs="Times New Roman"/>
          <w:color w:val="000000"/>
          <w:sz w:val="20"/>
          <w:szCs w:val="20"/>
          <w:lang w:val="en-AU"/>
        </w:rPr>
        <w:t>, blogs</w:t>
      </w:r>
      <w:r w:rsidR="009B5E1F" w:rsidRPr="005F3235">
        <w:rPr>
          <w:rFonts w:ascii="Calibri" w:eastAsia="Times New Roman" w:hAnsi="Calibri" w:cs="Times New Roman"/>
          <w:color w:val="000000"/>
          <w:sz w:val="20"/>
          <w:szCs w:val="20"/>
          <w:lang w:val="en-AU"/>
        </w:rPr>
        <w:t xml:space="preserve"> and </w:t>
      </w:r>
      <w:r w:rsidR="006C26ED" w:rsidRPr="005F3235">
        <w:rPr>
          <w:rFonts w:ascii="Calibri" w:eastAsia="Times New Roman" w:hAnsi="Calibri" w:cs="Times New Roman"/>
          <w:color w:val="000000"/>
          <w:sz w:val="20"/>
          <w:szCs w:val="20"/>
          <w:lang w:val="en-AU"/>
        </w:rPr>
        <w:t>challenge launch events</w:t>
      </w:r>
      <w:r w:rsidR="002932C6" w:rsidRPr="005F3235">
        <w:rPr>
          <w:rFonts w:ascii="Calibri" w:eastAsia="Times New Roman" w:hAnsi="Calibri" w:cs="Times New Roman"/>
          <w:color w:val="000000"/>
          <w:sz w:val="20"/>
          <w:szCs w:val="20"/>
          <w:lang w:val="en-AU"/>
        </w:rPr>
        <w:t xml:space="preserve"> for example</w:t>
      </w:r>
      <w:r w:rsidR="00BA2DCF" w:rsidRPr="005F3235">
        <w:rPr>
          <w:rFonts w:ascii="Calibri" w:eastAsia="Times New Roman" w:hAnsi="Calibri" w:cs="Times New Roman"/>
          <w:color w:val="000000"/>
          <w:sz w:val="20"/>
          <w:szCs w:val="20"/>
          <w:lang w:val="en-AU"/>
        </w:rPr>
        <w:t>.</w:t>
      </w:r>
      <w:r w:rsidR="00153D82" w:rsidRPr="005F3235">
        <w:rPr>
          <w:rFonts w:ascii="Calibri" w:eastAsia="Times New Roman" w:hAnsi="Calibri" w:cs="Times New Roman"/>
          <w:color w:val="000000"/>
          <w:sz w:val="20"/>
          <w:szCs w:val="20"/>
          <w:lang w:val="en-AU"/>
        </w:rPr>
        <w:t xml:space="preserve"> Going forward, the iXc should</w:t>
      </w:r>
      <w:r w:rsidR="000367BC" w:rsidRPr="005F3235">
        <w:rPr>
          <w:rFonts w:ascii="Calibri" w:eastAsia="Times New Roman" w:hAnsi="Calibri" w:cs="Times New Roman"/>
          <w:color w:val="000000"/>
          <w:sz w:val="20"/>
          <w:szCs w:val="20"/>
          <w:lang w:val="en-AU"/>
        </w:rPr>
        <w:t>:</w:t>
      </w:r>
    </w:p>
    <w:p w14:paraId="76B5F2B4" w14:textId="69C086BA" w:rsidR="00051119" w:rsidRPr="00C3419B" w:rsidRDefault="000367BC" w:rsidP="009349B6">
      <w:pPr>
        <w:pStyle w:val="ListParagraph"/>
        <w:numPr>
          <w:ilvl w:val="0"/>
          <w:numId w:val="13"/>
        </w:numPr>
        <w:spacing w:before="0" w:beforeAutospacing="0"/>
        <w:jc w:val="both"/>
        <w:rPr>
          <w:rFonts w:ascii="Calibri" w:hAnsi="Calibri"/>
          <w:b/>
          <w:color w:val="000000"/>
          <w:sz w:val="20"/>
          <w:szCs w:val="20"/>
          <w:lang w:val="en-AU"/>
        </w:rPr>
      </w:pPr>
      <w:r w:rsidRPr="005F3235">
        <w:rPr>
          <w:rFonts w:ascii="Calibri" w:hAnsi="Calibri"/>
          <w:b/>
          <w:color w:val="000000"/>
          <w:sz w:val="20"/>
          <w:szCs w:val="20"/>
          <w:lang w:val="en-AU"/>
        </w:rPr>
        <w:t>I</w:t>
      </w:r>
      <w:r w:rsidR="00153D82" w:rsidRPr="005F3235">
        <w:rPr>
          <w:rFonts w:ascii="Calibri" w:hAnsi="Calibri"/>
          <w:b/>
          <w:color w:val="000000"/>
          <w:sz w:val="20"/>
          <w:szCs w:val="20"/>
          <w:lang w:val="en-AU"/>
        </w:rPr>
        <w:t>nvest more resources in internal communications</w:t>
      </w:r>
      <w:r w:rsidR="00153D82" w:rsidRPr="005F3235">
        <w:rPr>
          <w:rFonts w:ascii="Calibri" w:hAnsi="Calibri"/>
          <w:color w:val="000000"/>
          <w:sz w:val="20"/>
          <w:szCs w:val="20"/>
          <w:lang w:val="en-AU"/>
        </w:rPr>
        <w:t xml:space="preserve"> targeting DFAT divisions and country posts. As a general principle,</w:t>
      </w:r>
      <w:r w:rsidR="00BA2DCF" w:rsidRPr="005F3235">
        <w:rPr>
          <w:rFonts w:ascii="Calibri" w:hAnsi="Calibri"/>
          <w:color w:val="000000"/>
          <w:sz w:val="20"/>
          <w:szCs w:val="20"/>
          <w:lang w:val="en-AU"/>
        </w:rPr>
        <w:t xml:space="preserve"> </w:t>
      </w:r>
      <w:r w:rsidR="002F3346" w:rsidRPr="005F3235">
        <w:rPr>
          <w:rFonts w:ascii="Calibri" w:hAnsi="Calibri"/>
          <w:color w:val="000000"/>
          <w:sz w:val="20"/>
          <w:szCs w:val="20"/>
          <w:lang w:val="en-AU"/>
        </w:rPr>
        <w:t xml:space="preserve">the iXc should </w:t>
      </w:r>
      <w:r w:rsidR="00B05F70" w:rsidRPr="005F3235">
        <w:rPr>
          <w:rFonts w:ascii="Calibri" w:hAnsi="Calibri"/>
          <w:color w:val="000000"/>
          <w:sz w:val="20"/>
          <w:szCs w:val="20"/>
          <w:lang w:val="en-AU"/>
        </w:rPr>
        <w:t xml:space="preserve">generate </w:t>
      </w:r>
      <w:r w:rsidR="00255C47" w:rsidRPr="005F3235">
        <w:rPr>
          <w:rFonts w:ascii="Calibri" w:hAnsi="Calibri"/>
          <w:color w:val="000000"/>
          <w:sz w:val="20"/>
          <w:szCs w:val="20"/>
          <w:lang w:val="en-AU"/>
        </w:rPr>
        <w:t>more</w:t>
      </w:r>
      <w:r w:rsidR="009D66CC" w:rsidRPr="005F3235">
        <w:rPr>
          <w:rFonts w:ascii="Calibri" w:hAnsi="Calibri"/>
          <w:color w:val="000000"/>
          <w:sz w:val="20"/>
          <w:szCs w:val="20"/>
          <w:lang w:val="en-AU"/>
        </w:rPr>
        <w:t xml:space="preserve"> </w:t>
      </w:r>
      <w:r w:rsidR="009D66CC" w:rsidRPr="005F3235">
        <w:rPr>
          <w:rFonts w:ascii="Calibri" w:hAnsi="Calibri"/>
          <w:b/>
          <w:color w:val="000000"/>
          <w:sz w:val="20"/>
          <w:szCs w:val="20"/>
          <w:lang w:val="en-AU"/>
        </w:rPr>
        <w:t>targeted</w:t>
      </w:r>
      <w:r w:rsidR="002F3346" w:rsidRPr="005F3235">
        <w:rPr>
          <w:rFonts w:ascii="Calibri" w:hAnsi="Calibri"/>
          <w:b/>
          <w:color w:val="000000"/>
          <w:sz w:val="20"/>
          <w:szCs w:val="20"/>
          <w:lang w:val="en-AU"/>
        </w:rPr>
        <w:t>/tailored</w:t>
      </w:r>
      <w:r w:rsidR="009D66CC" w:rsidRPr="005F3235">
        <w:rPr>
          <w:rFonts w:ascii="Calibri" w:hAnsi="Calibri"/>
          <w:b/>
          <w:color w:val="000000"/>
          <w:sz w:val="20"/>
          <w:szCs w:val="20"/>
          <w:lang w:val="en-AU"/>
        </w:rPr>
        <w:t xml:space="preserve"> </w:t>
      </w:r>
      <w:r w:rsidR="002F3346" w:rsidRPr="005F3235">
        <w:rPr>
          <w:rFonts w:ascii="Calibri" w:hAnsi="Calibri"/>
          <w:b/>
          <w:color w:val="000000"/>
          <w:sz w:val="20"/>
          <w:szCs w:val="20"/>
          <w:lang w:val="en-AU"/>
        </w:rPr>
        <w:t xml:space="preserve">messaging </w:t>
      </w:r>
      <w:r w:rsidR="00F25B5B" w:rsidRPr="005F3235">
        <w:rPr>
          <w:rFonts w:ascii="Calibri" w:hAnsi="Calibri"/>
          <w:b/>
          <w:color w:val="000000"/>
          <w:sz w:val="20"/>
          <w:szCs w:val="20"/>
          <w:lang w:val="en-AU"/>
        </w:rPr>
        <w:t>in the early stages of engaging with partners</w:t>
      </w:r>
      <w:r w:rsidR="00F25B5B" w:rsidRPr="005F3235">
        <w:rPr>
          <w:rFonts w:ascii="Calibri" w:hAnsi="Calibri"/>
          <w:color w:val="000000"/>
          <w:sz w:val="20"/>
          <w:szCs w:val="20"/>
          <w:lang w:val="en-AU"/>
        </w:rPr>
        <w:t xml:space="preserve"> </w:t>
      </w:r>
      <w:r w:rsidR="002F3346" w:rsidRPr="005F3235">
        <w:rPr>
          <w:rFonts w:ascii="Calibri" w:hAnsi="Calibri"/>
          <w:color w:val="000000"/>
          <w:sz w:val="20"/>
          <w:szCs w:val="20"/>
          <w:lang w:val="en-AU"/>
        </w:rPr>
        <w:t>to ensure goal alignment</w:t>
      </w:r>
      <w:r w:rsidR="00B90241" w:rsidRPr="000367BC">
        <w:rPr>
          <w:rFonts w:ascii="Calibri" w:hAnsi="Calibri"/>
          <w:color w:val="000000"/>
          <w:sz w:val="20"/>
          <w:szCs w:val="20"/>
          <w:lang w:val="en-AU"/>
        </w:rPr>
        <w:t>. This should include e</w:t>
      </w:r>
      <w:r w:rsidR="009D66CC" w:rsidRPr="000367BC">
        <w:rPr>
          <w:rFonts w:ascii="Calibri" w:hAnsi="Calibri"/>
          <w:color w:val="000000"/>
          <w:sz w:val="20"/>
          <w:szCs w:val="20"/>
          <w:lang w:val="en-AU"/>
        </w:rPr>
        <w:t>stablishing</w:t>
      </w:r>
      <w:r w:rsidR="009D66CC" w:rsidRPr="000367BC">
        <w:rPr>
          <w:rFonts w:ascii="Calibri" w:hAnsi="Calibri"/>
          <w:sz w:val="20"/>
          <w:szCs w:val="20"/>
          <w:lang w:val="en-AU"/>
        </w:rPr>
        <w:t xml:space="preserve"> more </w:t>
      </w:r>
      <w:r w:rsidR="009D66CC" w:rsidRPr="000367BC">
        <w:rPr>
          <w:rFonts w:ascii="Calibri" w:hAnsi="Calibri"/>
          <w:b/>
          <w:sz w:val="20"/>
          <w:szCs w:val="20"/>
          <w:lang w:val="en-AU"/>
        </w:rPr>
        <w:t xml:space="preserve">clarity around the iXc’s </w:t>
      </w:r>
      <w:r w:rsidR="001D6AE7" w:rsidRPr="000367BC">
        <w:rPr>
          <w:rFonts w:ascii="Calibri" w:hAnsi="Calibri"/>
          <w:b/>
          <w:sz w:val="20"/>
          <w:szCs w:val="20"/>
          <w:lang w:val="en-AU"/>
        </w:rPr>
        <w:t xml:space="preserve">vision and </w:t>
      </w:r>
      <w:r w:rsidR="009D66CC" w:rsidRPr="000367BC">
        <w:rPr>
          <w:rFonts w:ascii="Calibri" w:hAnsi="Calibri"/>
          <w:b/>
          <w:sz w:val="20"/>
          <w:szCs w:val="20"/>
          <w:lang w:val="en-AU"/>
        </w:rPr>
        <w:t>definition of innovation</w:t>
      </w:r>
      <w:r w:rsidR="002F3346" w:rsidRPr="000367BC">
        <w:rPr>
          <w:rFonts w:ascii="Calibri" w:hAnsi="Calibri"/>
          <w:sz w:val="20"/>
          <w:szCs w:val="20"/>
          <w:lang w:val="en-AU"/>
        </w:rPr>
        <w:t>,</w:t>
      </w:r>
      <w:r w:rsidR="00B90241" w:rsidRPr="000367BC">
        <w:rPr>
          <w:rFonts w:ascii="Calibri" w:hAnsi="Calibri"/>
          <w:sz w:val="20"/>
          <w:szCs w:val="20"/>
          <w:lang w:val="en-AU"/>
        </w:rPr>
        <w:t xml:space="preserve"> </w:t>
      </w:r>
      <w:r w:rsidR="009D66CC" w:rsidRPr="000367BC">
        <w:rPr>
          <w:rFonts w:ascii="Calibri" w:hAnsi="Calibri"/>
          <w:sz w:val="20"/>
          <w:szCs w:val="20"/>
          <w:lang w:val="en-AU"/>
        </w:rPr>
        <w:t xml:space="preserve">supported by examples from a range of programs </w:t>
      </w:r>
      <w:r w:rsidR="002F3346" w:rsidRPr="000367BC">
        <w:rPr>
          <w:rFonts w:ascii="Calibri" w:hAnsi="Calibri"/>
          <w:sz w:val="20"/>
          <w:szCs w:val="20"/>
          <w:lang w:val="en-AU"/>
        </w:rPr>
        <w:t>(</w:t>
      </w:r>
      <w:r w:rsidR="009D66CC" w:rsidRPr="000367BC">
        <w:rPr>
          <w:rFonts w:ascii="Calibri" w:hAnsi="Calibri"/>
          <w:sz w:val="20"/>
          <w:szCs w:val="20"/>
          <w:lang w:val="en-AU"/>
        </w:rPr>
        <w:t>including those not directly managed by the iXc</w:t>
      </w:r>
      <w:r w:rsidR="002F3346" w:rsidRPr="000367BC">
        <w:rPr>
          <w:rFonts w:ascii="Calibri" w:hAnsi="Calibri"/>
          <w:sz w:val="20"/>
          <w:szCs w:val="20"/>
          <w:lang w:val="en-AU"/>
        </w:rPr>
        <w:t>)</w:t>
      </w:r>
      <w:r w:rsidR="009D66CC" w:rsidRPr="000367BC">
        <w:rPr>
          <w:rFonts w:ascii="Calibri" w:hAnsi="Calibri"/>
          <w:sz w:val="20"/>
          <w:szCs w:val="20"/>
          <w:lang w:val="en-AU"/>
        </w:rPr>
        <w:t xml:space="preserve"> </w:t>
      </w:r>
      <w:r w:rsidR="002F3346" w:rsidRPr="000367BC">
        <w:rPr>
          <w:rFonts w:ascii="Calibri" w:hAnsi="Calibri"/>
          <w:sz w:val="20"/>
          <w:szCs w:val="20"/>
          <w:lang w:val="en-AU"/>
        </w:rPr>
        <w:t>to recognize and celebrate the existence of</w:t>
      </w:r>
      <w:r w:rsidR="009D66CC" w:rsidRPr="000367BC">
        <w:rPr>
          <w:rFonts w:ascii="Calibri" w:hAnsi="Calibri"/>
          <w:sz w:val="20"/>
          <w:szCs w:val="20"/>
          <w:lang w:val="en-AU"/>
        </w:rPr>
        <w:t xml:space="preserve"> innovation </w:t>
      </w:r>
      <w:r w:rsidR="00183201" w:rsidRPr="000367BC">
        <w:rPr>
          <w:rFonts w:ascii="Calibri" w:hAnsi="Calibri"/>
          <w:sz w:val="20"/>
          <w:szCs w:val="20"/>
          <w:lang w:val="en-AU"/>
        </w:rPr>
        <w:t>and</w:t>
      </w:r>
      <w:r w:rsidR="009D66CC" w:rsidRPr="000367BC">
        <w:rPr>
          <w:rFonts w:ascii="Calibri" w:hAnsi="Calibri"/>
          <w:sz w:val="20"/>
          <w:szCs w:val="20"/>
          <w:lang w:val="en-AU"/>
        </w:rPr>
        <w:t xml:space="preserve"> innovative approaches </w:t>
      </w:r>
      <w:r w:rsidR="002F3346" w:rsidRPr="000367BC">
        <w:rPr>
          <w:rFonts w:ascii="Calibri" w:hAnsi="Calibri"/>
          <w:sz w:val="20"/>
          <w:szCs w:val="20"/>
          <w:lang w:val="en-AU"/>
        </w:rPr>
        <w:t>across DFAT, including</w:t>
      </w:r>
      <w:r w:rsidR="009D66CC" w:rsidRPr="000367BC">
        <w:rPr>
          <w:rFonts w:ascii="Calibri" w:hAnsi="Calibri"/>
          <w:sz w:val="20"/>
          <w:szCs w:val="20"/>
          <w:lang w:val="en-AU"/>
        </w:rPr>
        <w:t xml:space="preserve"> </w:t>
      </w:r>
      <w:r w:rsidR="002F3346" w:rsidRPr="000367BC">
        <w:rPr>
          <w:rFonts w:ascii="Calibri" w:hAnsi="Calibri"/>
          <w:sz w:val="20"/>
          <w:szCs w:val="20"/>
          <w:lang w:val="en-AU"/>
        </w:rPr>
        <w:t xml:space="preserve">country </w:t>
      </w:r>
      <w:r w:rsidR="009D66CC" w:rsidRPr="000367BC">
        <w:rPr>
          <w:rFonts w:ascii="Calibri" w:hAnsi="Calibri"/>
          <w:sz w:val="20"/>
          <w:szCs w:val="20"/>
          <w:lang w:val="en-AU"/>
        </w:rPr>
        <w:t>posts</w:t>
      </w:r>
      <w:r w:rsidR="00B90241" w:rsidRPr="000367BC">
        <w:rPr>
          <w:rFonts w:ascii="Calibri" w:hAnsi="Calibri"/>
          <w:sz w:val="20"/>
          <w:szCs w:val="20"/>
          <w:lang w:val="en-AU"/>
        </w:rPr>
        <w:t xml:space="preserve">. In addition, </w:t>
      </w:r>
      <w:r w:rsidR="00B90241" w:rsidRPr="000367BC">
        <w:rPr>
          <w:rFonts w:ascii="Calibri" w:hAnsi="Calibri"/>
          <w:color w:val="000000"/>
          <w:sz w:val="20"/>
          <w:szCs w:val="20"/>
          <w:lang w:val="en-AU"/>
        </w:rPr>
        <w:t>communications should e</w:t>
      </w:r>
      <w:r w:rsidR="005E666D" w:rsidRPr="000367BC">
        <w:rPr>
          <w:rFonts w:ascii="Calibri" w:hAnsi="Calibri"/>
          <w:color w:val="000000"/>
          <w:sz w:val="20"/>
          <w:szCs w:val="20"/>
          <w:lang w:val="en-AU"/>
        </w:rPr>
        <w:t>mphasiz</w:t>
      </w:r>
      <w:r w:rsidR="00B90241" w:rsidRPr="000367BC">
        <w:rPr>
          <w:rFonts w:ascii="Calibri" w:hAnsi="Calibri"/>
          <w:color w:val="000000"/>
          <w:sz w:val="20"/>
          <w:szCs w:val="20"/>
          <w:lang w:val="en-AU"/>
        </w:rPr>
        <w:t>e</w:t>
      </w:r>
      <w:r w:rsidR="005E666D" w:rsidRPr="000367BC">
        <w:rPr>
          <w:rFonts w:ascii="Calibri" w:hAnsi="Calibri"/>
          <w:color w:val="000000"/>
          <w:sz w:val="20"/>
          <w:szCs w:val="20"/>
          <w:lang w:val="en-AU"/>
        </w:rPr>
        <w:t xml:space="preserve"> the </w:t>
      </w:r>
      <w:r w:rsidR="005E666D" w:rsidRPr="000367BC">
        <w:rPr>
          <w:rFonts w:ascii="Calibri" w:hAnsi="Calibri"/>
          <w:b/>
          <w:sz w:val="20"/>
          <w:szCs w:val="20"/>
          <w:lang w:val="en-AU"/>
        </w:rPr>
        <w:t>value of the iXc beyond direct funding for programs</w:t>
      </w:r>
      <w:r w:rsidR="005E666D" w:rsidRPr="000367BC">
        <w:rPr>
          <w:rFonts w:ascii="Calibri" w:hAnsi="Calibri"/>
          <w:sz w:val="20"/>
          <w:szCs w:val="20"/>
          <w:lang w:val="en-AU"/>
        </w:rPr>
        <w:t xml:space="preserve">, as </w:t>
      </w:r>
      <w:r w:rsidR="00C752F8" w:rsidRPr="000367BC">
        <w:rPr>
          <w:rFonts w:ascii="Calibri" w:hAnsi="Calibri"/>
          <w:sz w:val="20"/>
          <w:szCs w:val="20"/>
          <w:lang w:val="en-AU"/>
        </w:rPr>
        <w:t xml:space="preserve">partners and </w:t>
      </w:r>
      <w:r w:rsidR="005E666D" w:rsidRPr="000367BC">
        <w:rPr>
          <w:rFonts w:ascii="Calibri" w:hAnsi="Calibri"/>
          <w:sz w:val="20"/>
          <w:szCs w:val="20"/>
          <w:lang w:val="en-AU"/>
        </w:rPr>
        <w:t>grantees</w:t>
      </w:r>
      <w:r w:rsidR="000953A9" w:rsidRPr="000367BC">
        <w:rPr>
          <w:rFonts w:ascii="Calibri" w:hAnsi="Calibri"/>
          <w:sz w:val="20"/>
          <w:szCs w:val="20"/>
          <w:lang w:val="en-AU"/>
        </w:rPr>
        <w:t xml:space="preserve"> also</w:t>
      </w:r>
      <w:r w:rsidR="005E666D" w:rsidRPr="000367BC">
        <w:rPr>
          <w:rFonts w:ascii="Calibri" w:hAnsi="Calibri"/>
          <w:sz w:val="20"/>
          <w:szCs w:val="20"/>
          <w:lang w:val="en-AU"/>
        </w:rPr>
        <w:t xml:space="preserve"> benefit from the team’s expertise and its </w:t>
      </w:r>
      <w:r w:rsidR="002E3FAF" w:rsidRPr="000367BC">
        <w:rPr>
          <w:rFonts w:ascii="Calibri" w:hAnsi="Calibri"/>
          <w:sz w:val="20"/>
          <w:szCs w:val="20"/>
          <w:lang w:val="en-AU"/>
        </w:rPr>
        <w:t xml:space="preserve">different </w:t>
      </w:r>
      <w:r w:rsidR="005E666D" w:rsidRPr="000367BC">
        <w:rPr>
          <w:rFonts w:ascii="Calibri" w:hAnsi="Calibri"/>
          <w:sz w:val="20"/>
          <w:szCs w:val="20"/>
          <w:lang w:val="en-AU"/>
        </w:rPr>
        <w:t>network</w:t>
      </w:r>
      <w:r w:rsidR="002E3FAF" w:rsidRPr="000367BC">
        <w:rPr>
          <w:rFonts w:ascii="Calibri" w:hAnsi="Calibri"/>
          <w:sz w:val="20"/>
          <w:szCs w:val="20"/>
          <w:lang w:val="en-AU"/>
        </w:rPr>
        <w:t xml:space="preserve"> of external partners when compared to the existing aid program</w:t>
      </w:r>
      <w:r w:rsidR="00FB2870" w:rsidRPr="000367BC">
        <w:rPr>
          <w:rFonts w:ascii="Calibri" w:hAnsi="Calibri"/>
          <w:sz w:val="20"/>
          <w:szCs w:val="20"/>
          <w:lang w:val="en-AU"/>
        </w:rPr>
        <w:t>.</w:t>
      </w:r>
      <w:r w:rsidR="00EE6919">
        <w:rPr>
          <w:rStyle w:val="FootnoteReference"/>
          <w:rFonts w:ascii="Calibri" w:hAnsi="Calibri"/>
          <w:sz w:val="20"/>
          <w:szCs w:val="20"/>
          <w:lang w:val="en-AU"/>
        </w:rPr>
        <w:footnoteReference w:id="6"/>
      </w:r>
    </w:p>
    <w:p w14:paraId="63B61F37" w14:textId="4EC540EB" w:rsidR="00051119" w:rsidRPr="00C56533" w:rsidRDefault="002904D4" w:rsidP="001F2786">
      <w:pPr>
        <w:pStyle w:val="Heading2"/>
        <w:jc w:val="both"/>
      </w:pPr>
      <w:r w:rsidRPr="00051119">
        <w:t>Seeking new ideas from innovators outside DFAT</w:t>
      </w:r>
      <w:r w:rsidR="003D005E" w:rsidRPr="00051119">
        <w:t xml:space="preserve"> </w:t>
      </w:r>
    </w:p>
    <w:p w14:paraId="037DD007" w14:textId="5CF411BE" w:rsidR="00E37748" w:rsidRDefault="002F3346" w:rsidP="001F2786">
      <w:pPr>
        <w:spacing w:after="80"/>
        <w:jc w:val="both"/>
        <w:rPr>
          <w:rFonts w:ascii="Calibri" w:hAnsi="Calibri"/>
          <w:color w:val="000000"/>
          <w:sz w:val="20"/>
          <w:szCs w:val="20"/>
          <w:lang w:val="en-AU"/>
        </w:rPr>
      </w:pPr>
      <w:r>
        <w:rPr>
          <w:rFonts w:ascii="Calibri" w:hAnsi="Calibri"/>
          <w:color w:val="000000"/>
          <w:sz w:val="20"/>
          <w:szCs w:val="20"/>
          <w:lang w:val="en-AU"/>
        </w:rPr>
        <w:t>A key part of t</w:t>
      </w:r>
      <w:r w:rsidR="003D005E" w:rsidRPr="005C4AEB">
        <w:rPr>
          <w:rFonts w:ascii="Calibri" w:hAnsi="Calibri"/>
          <w:color w:val="000000"/>
          <w:sz w:val="20"/>
          <w:szCs w:val="20"/>
          <w:lang w:val="en-AU"/>
        </w:rPr>
        <w:t>he iXc</w:t>
      </w:r>
      <w:r>
        <w:rPr>
          <w:rFonts w:ascii="Calibri" w:hAnsi="Calibri"/>
          <w:color w:val="000000"/>
          <w:sz w:val="20"/>
          <w:szCs w:val="20"/>
          <w:lang w:val="en-AU"/>
        </w:rPr>
        <w:t>’s contribution to DFAT was its</w:t>
      </w:r>
      <w:r w:rsidR="003D005E" w:rsidRPr="005C4AEB">
        <w:rPr>
          <w:rFonts w:ascii="Calibri" w:hAnsi="Calibri"/>
          <w:color w:val="000000"/>
          <w:sz w:val="20"/>
          <w:szCs w:val="20"/>
          <w:lang w:val="en-AU"/>
        </w:rPr>
        <w:t xml:space="preserve"> experiment</w:t>
      </w:r>
      <w:r>
        <w:rPr>
          <w:rFonts w:ascii="Calibri" w:hAnsi="Calibri"/>
          <w:color w:val="000000"/>
          <w:sz w:val="20"/>
          <w:szCs w:val="20"/>
          <w:lang w:val="en-AU"/>
        </w:rPr>
        <w:t>ation</w:t>
      </w:r>
      <w:r w:rsidR="003D005E" w:rsidRPr="005C4AEB">
        <w:rPr>
          <w:rFonts w:ascii="Calibri" w:hAnsi="Calibri"/>
          <w:color w:val="000000"/>
          <w:sz w:val="20"/>
          <w:szCs w:val="20"/>
          <w:lang w:val="en-AU"/>
        </w:rPr>
        <w:t xml:space="preserve"> with </w:t>
      </w:r>
      <w:r w:rsidR="003151B7">
        <w:rPr>
          <w:rFonts w:ascii="Calibri" w:hAnsi="Calibri"/>
          <w:color w:val="000000"/>
          <w:sz w:val="20"/>
          <w:szCs w:val="20"/>
          <w:lang w:val="en-AU"/>
        </w:rPr>
        <w:t>various</w:t>
      </w:r>
      <w:r w:rsidR="003D005E" w:rsidRPr="005C4AEB">
        <w:rPr>
          <w:rFonts w:ascii="Calibri" w:hAnsi="Calibri"/>
          <w:color w:val="000000"/>
          <w:sz w:val="20"/>
          <w:szCs w:val="20"/>
          <w:lang w:val="en-AU"/>
        </w:rPr>
        <w:t xml:space="preserve"> models for the sourcing and testing of innovations, primarily </w:t>
      </w:r>
      <w:r>
        <w:rPr>
          <w:rFonts w:ascii="Calibri" w:hAnsi="Calibri"/>
          <w:color w:val="000000"/>
          <w:sz w:val="20"/>
          <w:szCs w:val="20"/>
          <w:lang w:val="en-AU"/>
        </w:rPr>
        <w:t>explor</w:t>
      </w:r>
      <w:r w:rsidR="003D005E" w:rsidRPr="005C4AEB">
        <w:rPr>
          <w:rFonts w:ascii="Calibri" w:hAnsi="Calibri"/>
          <w:color w:val="000000"/>
          <w:sz w:val="20"/>
          <w:szCs w:val="20"/>
          <w:lang w:val="en-AU"/>
        </w:rPr>
        <w:t>ed through</w:t>
      </w:r>
      <w:r>
        <w:rPr>
          <w:rFonts w:ascii="Calibri" w:hAnsi="Calibri"/>
          <w:color w:val="000000"/>
          <w:sz w:val="20"/>
          <w:szCs w:val="20"/>
          <w:lang w:val="en-AU"/>
        </w:rPr>
        <w:t xml:space="preserve"> different iterations of</w:t>
      </w:r>
      <w:r w:rsidR="003D005E" w:rsidRPr="005C4AEB">
        <w:rPr>
          <w:rFonts w:ascii="Calibri" w:hAnsi="Calibri"/>
          <w:color w:val="000000"/>
          <w:sz w:val="20"/>
          <w:szCs w:val="20"/>
          <w:lang w:val="en-AU"/>
        </w:rPr>
        <w:t xml:space="preserve"> innovation challenge funds</w:t>
      </w:r>
      <w:r w:rsidR="002B2389" w:rsidRPr="002B2389">
        <w:rPr>
          <w:rFonts w:ascii="Calibri" w:hAnsi="Calibri"/>
          <w:color w:val="000000"/>
          <w:sz w:val="20"/>
          <w:szCs w:val="20"/>
          <w:lang w:val="en-AU"/>
        </w:rPr>
        <w:t xml:space="preserve">, with the iXc running </w:t>
      </w:r>
      <w:r w:rsidR="002B2389" w:rsidRPr="002B2389">
        <w:rPr>
          <w:rFonts w:ascii="Calibri" w:hAnsi="Calibri"/>
          <w:color w:val="000000"/>
          <w:sz w:val="20"/>
          <w:szCs w:val="20"/>
          <w:lang w:val="en-AU"/>
        </w:rPr>
        <w:lastRenderedPageBreak/>
        <w:t>11 of these from 2015-2018. This led to the iXc supporting a diverse portfolio of over 100 projects operating in more than 50 countries</w:t>
      </w:r>
      <w:r w:rsidR="002B2389" w:rsidRPr="00A76A82">
        <w:rPr>
          <w:rFonts w:ascii="Calibri" w:hAnsi="Calibri"/>
          <w:color w:val="000000"/>
          <w:sz w:val="20"/>
          <w:szCs w:val="20"/>
          <w:lang w:val="en-AU"/>
        </w:rPr>
        <w:t>.</w:t>
      </w:r>
      <w:r w:rsidR="00A76A82" w:rsidRPr="00A76A82">
        <w:rPr>
          <w:rStyle w:val="FootnoteReference"/>
          <w:rFonts w:ascii="Calibri" w:eastAsia="Times New Roman" w:hAnsi="Calibri" w:cs="Times New Roman"/>
          <w:color w:val="000000"/>
          <w:sz w:val="20"/>
          <w:szCs w:val="20"/>
          <w:lang w:val="en-AU"/>
        </w:rPr>
        <w:footnoteReference w:id="7"/>
      </w:r>
      <w:r w:rsidR="00A76A82" w:rsidRPr="002B2389">
        <w:rPr>
          <w:rFonts w:ascii="Calibri" w:hAnsi="Calibri"/>
          <w:color w:val="000000"/>
          <w:sz w:val="20"/>
          <w:szCs w:val="20"/>
          <w:lang w:val="en-AU"/>
        </w:rPr>
        <w:t xml:space="preserve"> </w:t>
      </w:r>
      <w:r w:rsidR="002B2389" w:rsidRPr="002B2389">
        <w:rPr>
          <w:rFonts w:ascii="Calibri" w:hAnsi="Calibri"/>
          <w:color w:val="000000"/>
          <w:sz w:val="20"/>
          <w:szCs w:val="20"/>
          <w:lang w:val="en-AU"/>
        </w:rPr>
        <w:t>Through these investments, the iXc surfaced and supported innovations addressing a wide range of the 2030 Sustainable Development Goals (and many addressed more than one). An analysis of the portfolio in 2017-2018 indicated a strong emphasis on SDG 3 (Good Health &amp; Wellbeing),  SDG 4 (Quality Education) and SDG 2 (Zero Hunger).</w:t>
      </w:r>
    </w:p>
    <w:p w14:paraId="476045B0" w14:textId="3F3F8929" w:rsidR="003D005E" w:rsidRDefault="00E37748" w:rsidP="001F2786">
      <w:pPr>
        <w:spacing w:after="80"/>
        <w:jc w:val="both"/>
        <w:rPr>
          <w:rFonts w:ascii="Calibri" w:eastAsia="Times New Roman" w:hAnsi="Calibri" w:cs="Times New Roman"/>
          <w:color w:val="000000"/>
          <w:sz w:val="20"/>
          <w:szCs w:val="20"/>
          <w:lang w:val="en-AU"/>
        </w:rPr>
      </w:pPr>
      <w:r>
        <w:rPr>
          <w:rFonts w:ascii="Calibri" w:eastAsia="Times New Roman" w:hAnsi="Calibri" w:cs="Times New Roman"/>
          <w:noProof/>
          <w:color w:val="000000"/>
          <w:sz w:val="20"/>
          <w:szCs w:val="20"/>
          <w:lang w:val="en-AU"/>
        </w:rPr>
        <w:drawing>
          <wp:inline distT="0" distB="0" distL="0" distR="0" wp14:anchorId="1B3244CC" wp14:editId="0C1AFEF0">
            <wp:extent cx="5943600" cy="2331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9-05-03 at 3.49.09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331720"/>
                    </a:xfrm>
                    <a:prstGeom prst="rect">
                      <a:avLst/>
                    </a:prstGeom>
                  </pic:spPr>
                </pic:pic>
              </a:graphicData>
            </a:graphic>
          </wp:inline>
        </w:drawing>
      </w:r>
    </w:p>
    <w:p w14:paraId="09AED65C" w14:textId="1CBEB1D9" w:rsidR="008164B1" w:rsidRPr="00931EEB" w:rsidRDefault="00DB7363" w:rsidP="001F2786">
      <w:pPr>
        <w:jc w:val="both"/>
        <w:rPr>
          <w:rFonts w:eastAsia="Times New Roman" w:cs="Times New Roman"/>
          <w:b/>
          <w:i/>
          <w:color w:val="572181" w:themeColor="accent3"/>
          <w:sz w:val="18"/>
          <w:szCs w:val="18"/>
          <w:lang w:val="en-AU"/>
        </w:rPr>
      </w:pPr>
      <w:r w:rsidRPr="008164B1">
        <w:rPr>
          <w:rFonts w:eastAsia="Times New Roman" w:cs="Times New Roman"/>
          <w:b/>
          <w:i/>
          <w:color w:val="572181" w:themeColor="accent3"/>
          <w:sz w:val="18"/>
          <w:szCs w:val="18"/>
          <w:lang w:val="en-AU"/>
        </w:rPr>
        <w:t xml:space="preserve">Figure </w:t>
      </w:r>
      <w:r w:rsidR="00AD25A8">
        <w:rPr>
          <w:rFonts w:eastAsia="Times New Roman" w:cs="Times New Roman"/>
          <w:b/>
          <w:i/>
          <w:color w:val="572181" w:themeColor="accent3"/>
          <w:sz w:val="18"/>
          <w:szCs w:val="18"/>
          <w:lang w:val="en-AU"/>
        </w:rPr>
        <w:t>1</w:t>
      </w:r>
      <w:r w:rsidRPr="008164B1">
        <w:rPr>
          <w:rFonts w:eastAsia="Times New Roman" w:cs="Times New Roman"/>
          <w:b/>
          <w:i/>
          <w:color w:val="572181" w:themeColor="accent3"/>
          <w:sz w:val="18"/>
          <w:szCs w:val="18"/>
          <w:lang w:val="en-AU"/>
        </w:rPr>
        <w:t xml:space="preserve">: iXc projects according to the primary SDG that they are addressing </w:t>
      </w:r>
    </w:p>
    <w:p w14:paraId="5E304E37" w14:textId="77777777" w:rsidR="005D3EA2" w:rsidRDefault="005D3EA2" w:rsidP="001F2786">
      <w:pPr>
        <w:pStyle w:val="Default"/>
        <w:jc w:val="both"/>
        <w:rPr>
          <w:rFonts w:eastAsia="Times New Roman" w:cs="Times New Roman"/>
          <w:sz w:val="20"/>
          <w:szCs w:val="20"/>
          <w:lang w:val="en-AU"/>
        </w:rPr>
      </w:pPr>
    </w:p>
    <w:p w14:paraId="34E708DC" w14:textId="5BCE4EA4" w:rsidR="00913AEC" w:rsidRDefault="002C1DD1" w:rsidP="001F2786">
      <w:pPr>
        <w:pStyle w:val="Default"/>
        <w:spacing w:after="80"/>
        <w:jc w:val="both"/>
        <w:rPr>
          <w:rFonts w:eastAsia="Times New Roman" w:cs="Times New Roman"/>
          <w:sz w:val="20"/>
          <w:szCs w:val="20"/>
          <w:lang w:val="en-AU"/>
        </w:rPr>
      </w:pPr>
      <w:r>
        <w:rPr>
          <w:rFonts w:eastAsia="Times New Roman" w:cs="Times New Roman"/>
          <w:sz w:val="20"/>
          <w:szCs w:val="20"/>
          <w:lang w:val="en-AU"/>
        </w:rPr>
        <w:t>In order to maximise its potential learning, t</w:t>
      </w:r>
      <w:r w:rsidR="00913AEC">
        <w:rPr>
          <w:rFonts w:eastAsia="Times New Roman" w:cs="Times New Roman"/>
          <w:sz w:val="20"/>
          <w:szCs w:val="20"/>
          <w:lang w:val="en-AU"/>
        </w:rPr>
        <w:t xml:space="preserve">he </w:t>
      </w:r>
      <w:r w:rsidR="00CE7D61">
        <w:rPr>
          <w:rFonts w:eastAsia="Times New Roman" w:cs="Times New Roman"/>
          <w:sz w:val="20"/>
          <w:szCs w:val="20"/>
          <w:lang w:val="en-AU"/>
        </w:rPr>
        <w:t xml:space="preserve">iXc’s </w:t>
      </w:r>
      <w:r w:rsidR="00913AEC">
        <w:rPr>
          <w:rFonts w:eastAsia="Times New Roman" w:cs="Times New Roman"/>
          <w:sz w:val="20"/>
          <w:szCs w:val="20"/>
          <w:lang w:val="en-AU"/>
        </w:rPr>
        <w:t>approach to building a</w:t>
      </w:r>
      <w:r w:rsidR="00EB0DA5">
        <w:rPr>
          <w:rFonts w:eastAsia="Times New Roman" w:cs="Times New Roman"/>
          <w:sz w:val="20"/>
          <w:szCs w:val="20"/>
          <w:lang w:val="en-AU"/>
        </w:rPr>
        <w:t>n innovation</w:t>
      </w:r>
      <w:r w:rsidR="00913AEC">
        <w:rPr>
          <w:rFonts w:eastAsia="Times New Roman" w:cs="Times New Roman"/>
          <w:sz w:val="20"/>
          <w:szCs w:val="20"/>
          <w:lang w:val="en-AU"/>
        </w:rPr>
        <w:t xml:space="preserve"> portfolio was characterized by:</w:t>
      </w:r>
    </w:p>
    <w:p w14:paraId="1E4BB771" w14:textId="5DB7E2E2" w:rsidR="00913AEC" w:rsidRDefault="00913AEC" w:rsidP="009349B6">
      <w:pPr>
        <w:pStyle w:val="ListParagraph"/>
        <w:numPr>
          <w:ilvl w:val="0"/>
          <w:numId w:val="1"/>
        </w:numPr>
        <w:spacing w:before="0" w:beforeAutospacing="0" w:after="80" w:afterAutospacing="0"/>
        <w:jc w:val="both"/>
        <w:rPr>
          <w:rFonts w:ascii="Calibri" w:hAnsi="Calibri"/>
          <w:color w:val="000000"/>
          <w:sz w:val="20"/>
          <w:szCs w:val="20"/>
          <w:lang w:val="en-AU"/>
        </w:rPr>
      </w:pPr>
      <w:r w:rsidRPr="004356ED">
        <w:rPr>
          <w:rFonts w:ascii="Calibri" w:hAnsi="Calibri"/>
          <w:b/>
          <w:color w:val="000000"/>
          <w:sz w:val="20"/>
          <w:szCs w:val="20"/>
          <w:lang w:val="en-AU"/>
        </w:rPr>
        <w:t>Sourcing innovat</w:t>
      </w:r>
      <w:r w:rsidR="002C1DD1">
        <w:rPr>
          <w:rFonts w:ascii="Calibri" w:hAnsi="Calibri"/>
          <w:b/>
          <w:color w:val="000000"/>
          <w:sz w:val="20"/>
          <w:szCs w:val="20"/>
          <w:lang w:val="en-AU"/>
        </w:rPr>
        <w:t>ions and supporting innovat</w:t>
      </w:r>
      <w:r w:rsidRPr="004356ED">
        <w:rPr>
          <w:rFonts w:ascii="Calibri" w:hAnsi="Calibri"/>
          <w:b/>
          <w:color w:val="000000"/>
          <w:sz w:val="20"/>
          <w:szCs w:val="20"/>
          <w:lang w:val="en-AU"/>
        </w:rPr>
        <w:t xml:space="preserve">ors </w:t>
      </w:r>
      <w:r w:rsidR="004356ED" w:rsidRPr="004356ED">
        <w:rPr>
          <w:rFonts w:ascii="Calibri" w:hAnsi="Calibri"/>
          <w:b/>
          <w:color w:val="000000"/>
          <w:sz w:val="20"/>
          <w:szCs w:val="20"/>
          <w:lang w:val="en-AU"/>
        </w:rPr>
        <w:t>through open challenge competitions</w:t>
      </w:r>
      <w:r w:rsidR="004356ED">
        <w:rPr>
          <w:rFonts w:ascii="Calibri" w:hAnsi="Calibri"/>
          <w:color w:val="000000"/>
          <w:sz w:val="20"/>
          <w:szCs w:val="20"/>
          <w:lang w:val="en-AU"/>
        </w:rPr>
        <w:t>. P</w:t>
      </w:r>
      <w:r w:rsidRPr="00F607CD">
        <w:rPr>
          <w:rFonts w:ascii="Calibri" w:hAnsi="Calibri"/>
          <w:color w:val="000000"/>
          <w:sz w:val="20"/>
          <w:szCs w:val="20"/>
          <w:lang w:val="en-AU"/>
        </w:rPr>
        <w:t>roviding funding and networks</w:t>
      </w:r>
      <w:r w:rsidR="004356ED">
        <w:rPr>
          <w:rFonts w:ascii="Calibri" w:hAnsi="Calibri"/>
          <w:color w:val="000000"/>
          <w:sz w:val="20"/>
          <w:szCs w:val="20"/>
          <w:lang w:val="en-AU"/>
        </w:rPr>
        <w:t xml:space="preserve"> to innovators was the primary approach used by the iXc, through </w:t>
      </w:r>
      <w:r w:rsidR="009F2FF3">
        <w:rPr>
          <w:rFonts w:ascii="Calibri" w:hAnsi="Calibri"/>
          <w:color w:val="000000"/>
          <w:sz w:val="20"/>
          <w:szCs w:val="20"/>
          <w:lang w:val="en-AU"/>
        </w:rPr>
        <w:t>program</w:t>
      </w:r>
      <w:r w:rsidR="004356ED">
        <w:rPr>
          <w:rFonts w:ascii="Calibri" w:hAnsi="Calibri"/>
          <w:color w:val="000000"/>
          <w:sz w:val="20"/>
          <w:szCs w:val="20"/>
          <w:lang w:val="en-AU"/>
        </w:rPr>
        <w:t xml:space="preserve">s such as </w:t>
      </w:r>
      <w:hyperlink r:id="rId13" w:history="1">
        <w:r w:rsidR="004356ED" w:rsidRPr="000213A0">
          <w:rPr>
            <w:rStyle w:val="Hyperlink"/>
            <w:rFonts w:ascii="Calibri" w:hAnsi="Calibri"/>
            <w:sz w:val="20"/>
            <w:szCs w:val="20"/>
            <w:lang w:val="en-AU"/>
          </w:rPr>
          <w:t>LAUNCH Food</w:t>
        </w:r>
      </w:hyperlink>
      <w:r w:rsidR="004356ED">
        <w:rPr>
          <w:rFonts w:ascii="Calibri" w:hAnsi="Calibri"/>
          <w:color w:val="000000"/>
          <w:sz w:val="20"/>
          <w:szCs w:val="20"/>
          <w:lang w:val="en-AU"/>
        </w:rPr>
        <w:t xml:space="preserve">, the </w:t>
      </w:r>
      <w:hyperlink r:id="rId14" w:history="1">
        <w:r w:rsidR="004356ED" w:rsidRPr="000213A0">
          <w:rPr>
            <w:rStyle w:val="Hyperlink"/>
            <w:rFonts w:ascii="Calibri" w:hAnsi="Calibri"/>
            <w:sz w:val="20"/>
            <w:szCs w:val="20"/>
            <w:lang w:val="en-AU"/>
          </w:rPr>
          <w:t>Blue Economy Challenge</w:t>
        </w:r>
      </w:hyperlink>
      <w:r w:rsidR="004356ED">
        <w:rPr>
          <w:rFonts w:ascii="Calibri" w:hAnsi="Calibri"/>
          <w:color w:val="000000"/>
          <w:sz w:val="20"/>
          <w:szCs w:val="20"/>
          <w:lang w:val="en-AU"/>
        </w:rPr>
        <w:t xml:space="preserve"> and </w:t>
      </w:r>
      <w:hyperlink r:id="rId15" w:history="1">
        <w:r w:rsidR="004356ED" w:rsidRPr="000213A0">
          <w:rPr>
            <w:rStyle w:val="Hyperlink"/>
            <w:rFonts w:ascii="Calibri" w:hAnsi="Calibri"/>
            <w:sz w:val="20"/>
            <w:szCs w:val="20"/>
            <w:lang w:val="en-AU"/>
          </w:rPr>
          <w:t>Scaling Frontier Innovation</w:t>
        </w:r>
      </w:hyperlink>
      <w:r w:rsidR="004356ED">
        <w:rPr>
          <w:rFonts w:ascii="Calibri" w:hAnsi="Calibri"/>
          <w:color w:val="000000"/>
          <w:sz w:val="20"/>
          <w:szCs w:val="20"/>
          <w:lang w:val="en-AU"/>
        </w:rPr>
        <w:t>.</w:t>
      </w:r>
      <w:r w:rsidR="00AD6CF2">
        <w:rPr>
          <w:rFonts w:ascii="Calibri" w:hAnsi="Calibri"/>
          <w:color w:val="000000"/>
          <w:sz w:val="20"/>
          <w:szCs w:val="20"/>
          <w:lang w:val="en-AU"/>
        </w:rPr>
        <w:t xml:space="preserve"> Alternative approaches, such as co-creation</w:t>
      </w:r>
      <w:r w:rsidR="002E3FAF">
        <w:rPr>
          <w:rFonts w:ascii="Calibri" w:hAnsi="Calibri"/>
          <w:color w:val="000000"/>
          <w:sz w:val="20"/>
          <w:szCs w:val="20"/>
          <w:lang w:val="en-AU"/>
        </w:rPr>
        <w:t xml:space="preserve"> (</w:t>
      </w:r>
      <w:r w:rsidR="00393085">
        <w:rPr>
          <w:rFonts w:ascii="Calibri" w:hAnsi="Calibri"/>
          <w:color w:val="000000"/>
          <w:sz w:val="20"/>
          <w:szCs w:val="20"/>
          <w:lang w:val="en-AU"/>
        </w:rPr>
        <w:t>e.g.</w:t>
      </w:r>
      <w:r w:rsidR="006E1601">
        <w:rPr>
          <w:rFonts w:ascii="Calibri" w:hAnsi="Calibri"/>
          <w:color w:val="000000"/>
          <w:sz w:val="20"/>
          <w:szCs w:val="20"/>
          <w:lang w:val="en-AU"/>
        </w:rPr>
        <w:t xml:space="preserve"> </w:t>
      </w:r>
      <w:hyperlink r:id="rId16" w:history="1">
        <w:r w:rsidR="002E3FAF" w:rsidRPr="00393085">
          <w:rPr>
            <w:rStyle w:val="Hyperlink"/>
            <w:rFonts w:ascii="Calibri" w:hAnsi="Calibri"/>
            <w:sz w:val="20"/>
            <w:szCs w:val="20"/>
            <w:lang w:val="en-AU"/>
          </w:rPr>
          <w:t>MIKT</w:t>
        </w:r>
        <w:r w:rsidR="00393085">
          <w:rPr>
            <w:rStyle w:val="Hyperlink"/>
            <w:rFonts w:ascii="Calibri" w:hAnsi="Calibri"/>
            <w:sz w:val="20"/>
            <w:szCs w:val="20"/>
            <w:lang w:val="en-AU"/>
          </w:rPr>
          <w:t>A</w:t>
        </w:r>
        <w:r w:rsidR="006E1601">
          <w:rPr>
            <w:rStyle w:val="Hyperlink"/>
            <w:rFonts w:ascii="Calibri" w:hAnsi="Calibri"/>
            <w:sz w:val="20"/>
            <w:szCs w:val="20"/>
            <w:lang w:val="en-AU"/>
          </w:rPr>
          <w:t xml:space="preserve"> </w:t>
        </w:r>
        <w:r w:rsidR="00A03B46">
          <w:rPr>
            <w:rStyle w:val="Hyperlink"/>
            <w:rFonts w:ascii="Calibri" w:hAnsi="Calibri"/>
            <w:sz w:val="20"/>
            <w:szCs w:val="20"/>
            <w:lang w:val="en-AU"/>
          </w:rPr>
          <w:t>C</w:t>
        </w:r>
        <w:r w:rsidR="006E1601">
          <w:rPr>
            <w:rStyle w:val="Hyperlink"/>
            <w:rFonts w:ascii="Calibri" w:hAnsi="Calibri"/>
            <w:sz w:val="20"/>
            <w:szCs w:val="20"/>
            <w:lang w:val="en-AU"/>
          </w:rPr>
          <w:t>hallenge</w:t>
        </w:r>
      </w:hyperlink>
      <w:r w:rsidR="002E3FAF">
        <w:rPr>
          <w:rFonts w:ascii="Calibri" w:hAnsi="Calibri"/>
          <w:color w:val="000000"/>
          <w:sz w:val="20"/>
          <w:szCs w:val="20"/>
          <w:lang w:val="en-AU"/>
        </w:rPr>
        <w:t>)</w:t>
      </w:r>
      <w:r w:rsidR="00C30F5B">
        <w:rPr>
          <w:rFonts w:ascii="Calibri" w:hAnsi="Calibri"/>
          <w:color w:val="000000"/>
          <w:sz w:val="20"/>
          <w:szCs w:val="20"/>
          <w:lang w:val="en-AU"/>
        </w:rPr>
        <w:t xml:space="preserve">, </w:t>
      </w:r>
      <w:r w:rsidR="00AD6CF2">
        <w:rPr>
          <w:rFonts w:ascii="Calibri" w:hAnsi="Calibri"/>
          <w:color w:val="000000"/>
          <w:sz w:val="20"/>
          <w:szCs w:val="20"/>
          <w:lang w:val="en-AU"/>
        </w:rPr>
        <w:t>human-centred design</w:t>
      </w:r>
      <w:r w:rsidR="003F69A2">
        <w:rPr>
          <w:rFonts w:ascii="Calibri" w:hAnsi="Calibri"/>
          <w:color w:val="000000"/>
          <w:sz w:val="20"/>
          <w:szCs w:val="20"/>
          <w:lang w:val="en-AU"/>
        </w:rPr>
        <w:t xml:space="preserve"> (e.g. </w:t>
      </w:r>
      <w:hyperlink r:id="rId17" w:history="1">
        <w:r w:rsidR="003F69A2" w:rsidRPr="00796482">
          <w:rPr>
            <w:rStyle w:val="Hyperlink"/>
            <w:rFonts w:ascii="Calibri" w:hAnsi="Calibri"/>
            <w:sz w:val="20"/>
            <w:szCs w:val="20"/>
            <w:lang w:val="en-AU"/>
          </w:rPr>
          <w:t>World Mosquito Program</w:t>
        </w:r>
      </w:hyperlink>
      <w:r w:rsidR="003F69A2">
        <w:rPr>
          <w:rFonts w:ascii="Calibri" w:hAnsi="Calibri"/>
          <w:color w:val="000000"/>
          <w:sz w:val="20"/>
          <w:szCs w:val="20"/>
          <w:lang w:val="en-AU"/>
        </w:rPr>
        <w:t>),</w:t>
      </w:r>
      <w:r w:rsidR="00AD6CF2">
        <w:rPr>
          <w:rFonts w:ascii="Calibri" w:hAnsi="Calibri"/>
          <w:color w:val="000000"/>
          <w:sz w:val="20"/>
          <w:szCs w:val="20"/>
          <w:lang w:val="en-AU"/>
        </w:rPr>
        <w:t xml:space="preserve"> crowd</w:t>
      </w:r>
      <w:r w:rsidR="003F69A2">
        <w:rPr>
          <w:rFonts w:ascii="Calibri" w:hAnsi="Calibri"/>
          <w:color w:val="000000"/>
          <w:sz w:val="20"/>
          <w:szCs w:val="20"/>
          <w:lang w:val="en-AU"/>
        </w:rPr>
        <w:t>s</w:t>
      </w:r>
      <w:r w:rsidR="00AD6CF2">
        <w:rPr>
          <w:rFonts w:ascii="Calibri" w:hAnsi="Calibri"/>
          <w:color w:val="000000"/>
          <w:sz w:val="20"/>
          <w:szCs w:val="20"/>
          <w:lang w:val="en-AU"/>
        </w:rPr>
        <w:t>ourcing</w:t>
      </w:r>
      <w:r w:rsidR="003F69A2">
        <w:rPr>
          <w:rFonts w:ascii="Calibri" w:hAnsi="Calibri"/>
          <w:color w:val="000000"/>
          <w:sz w:val="20"/>
          <w:szCs w:val="20"/>
          <w:lang w:val="en-AU"/>
        </w:rPr>
        <w:t xml:space="preserve"> (e.g. ADA)</w:t>
      </w:r>
      <w:r w:rsidR="006410AB">
        <w:rPr>
          <w:rFonts w:ascii="Calibri" w:hAnsi="Calibri"/>
          <w:color w:val="000000"/>
          <w:sz w:val="20"/>
          <w:szCs w:val="20"/>
          <w:lang w:val="en-AU"/>
        </w:rPr>
        <w:t xml:space="preserve"> </w:t>
      </w:r>
      <w:r w:rsidR="00AD6CF2">
        <w:rPr>
          <w:rFonts w:ascii="Calibri" w:hAnsi="Calibri"/>
          <w:color w:val="000000"/>
          <w:sz w:val="20"/>
          <w:szCs w:val="20"/>
          <w:lang w:val="en-AU"/>
        </w:rPr>
        <w:t xml:space="preserve">and system mapping </w:t>
      </w:r>
      <w:r w:rsidR="00A755E5">
        <w:rPr>
          <w:rFonts w:ascii="Calibri" w:hAnsi="Calibri"/>
          <w:color w:val="000000"/>
          <w:sz w:val="20"/>
          <w:szCs w:val="20"/>
          <w:lang w:val="en-AU"/>
        </w:rPr>
        <w:t xml:space="preserve">(e.g. </w:t>
      </w:r>
      <w:hyperlink r:id="rId18" w:history="1">
        <w:r w:rsidR="001841F3">
          <w:rPr>
            <w:rStyle w:val="Hyperlink"/>
            <w:rFonts w:ascii="Calibri" w:hAnsi="Calibri"/>
            <w:sz w:val="20"/>
            <w:szCs w:val="20"/>
            <w:lang w:val="en-AU"/>
          </w:rPr>
          <w:t>Aus4Water</w:t>
        </w:r>
      </w:hyperlink>
      <w:r w:rsidR="00A755E5">
        <w:rPr>
          <w:rFonts w:ascii="Calibri" w:hAnsi="Calibri"/>
          <w:color w:val="000000"/>
          <w:sz w:val="20"/>
          <w:szCs w:val="20"/>
          <w:lang w:val="en-AU"/>
        </w:rPr>
        <w:t xml:space="preserve">) </w:t>
      </w:r>
      <w:r w:rsidR="00AD6CF2">
        <w:rPr>
          <w:rFonts w:ascii="Calibri" w:hAnsi="Calibri"/>
          <w:color w:val="000000"/>
          <w:sz w:val="20"/>
          <w:szCs w:val="20"/>
          <w:lang w:val="en-AU"/>
        </w:rPr>
        <w:t xml:space="preserve">were </w:t>
      </w:r>
      <w:r w:rsidR="002C1DD1">
        <w:rPr>
          <w:rFonts w:ascii="Calibri" w:hAnsi="Calibri"/>
          <w:color w:val="000000"/>
          <w:sz w:val="20"/>
          <w:szCs w:val="20"/>
          <w:lang w:val="en-AU"/>
        </w:rPr>
        <w:t xml:space="preserve">also </w:t>
      </w:r>
      <w:r w:rsidR="00AD6CF2">
        <w:rPr>
          <w:rFonts w:ascii="Calibri" w:hAnsi="Calibri"/>
          <w:color w:val="000000"/>
          <w:sz w:val="20"/>
          <w:szCs w:val="20"/>
          <w:lang w:val="en-AU"/>
        </w:rPr>
        <w:t xml:space="preserve">employed </w:t>
      </w:r>
      <w:r w:rsidR="002C1DD1">
        <w:rPr>
          <w:rFonts w:ascii="Calibri" w:hAnsi="Calibri"/>
          <w:color w:val="000000"/>
          <w:sz w:val="20"/>
          <w:szCs w:val="20"/>
          <w:lang w:val="en-AU"/>
        </w:rPr>
        <w:t>to a lesser extent</w:t>
      </w:r>
      <w:r w:rsidR="000030A3">
        <w:rPr>
          <w:rFonts w:ascii="Calibri" w:hAnsi="Calibri"/>
          <w:color w:val="000000"/>
          <w:sz w:val="20"/>
          <w:szCs w:val="20"/>
          <w:lang w:val="en-AU"/>
        </w:rPr>
        <w:t>.</w:t>
      </w:r>
      <w:r w:rsidR="00742DE9">
        <w:rPr>
          <w:rFonts w:ascii="Calibri" w:hAnsi="Calibri"/>
          <w:color w:val="000000"/>
          <w:sz w:val="20"/>
          <w:szCs w:val="20"/>
          <w:lang w:val="en-AU"/>
        </w:rPr>
        <w:t xml:space="preserve"> </w:t>
      </w:r>
    </w:p>
    <w:p w14:paraId="4AD3C7CA" w14:textId="75532735" w:rsidR="00DB00DE" w:rsidRPr="00F607CD" w:rsidRDefault="002B78A5" w:rsidP="009349B6">
      <w:pPr>
        <w:pStyle w:val="ListParagraph"/>
        <w:numPr>
          <w:ilvl w:val="0"/>
          <w:numId w:val="1"/>
        </w:numPr>
        <w:spacing w:before="0" w:beforeAutospacing="0" w:after="80" w:afterAutospacing="0"/>
        <w:jc w:val="both"/>
        <w:rPr>
          <w:rFonts w:ascii="Calibri" w:hAnsi="Calibri"/>
          <w:color w:val="000000"/>
          <w:sz w:val="20"/>
          <w:szCs w:val="20"/>
          <w:lang w:val="en-AU"/>
        </w:rPr>
      </w:pPr>
      <w:r>
        <w:rPr>
          <w:rFonts w:ascii="Calibri" w:hAnsi="Calibri"/>
          <w:b/>
          <w:color w:val="000000"/>
          <w:sz w:val="20"/>
          <w:szCs w:val="20"/>
          <w:lang w:val="en-AU"/>
        </w:rPr>
        <w:t xml:space="preserve">A tendency towards </w:t>
      </w:r>
      <w:r w:rsidR="000E2901">
        <w:rPr>
          <w:rFonts w:ascii="Calibri" w:hAnsi="Calibri"/>
          <w:b/>
          <w:color w:val="000000"/>
          <w:sz w:val="20"/>
          <w:szCs w:val="20"/>
          <w:lang w:val="en-AU"/>
        </w:rPr>
        <w:t xml:space="preserve">designing </w:t>
      </w:r>
      <w:r w:rsidR="00BF39EC">
        <w:rPr>
          <w:rFonts w:ascii="Calibri" w:hAnsi="Calibri"/>
          <w:b/>
          <w:color w:val="000000"/>
          <w:sz w:val="20"/>
          <w:szCs w:val="20"/>
          <w:lang w:val="en-AU"/>
        </w:rPr>
        <w:t>challenges</w:t>
      </w:r>
      <w:r w:rsidR="000E2901">
        <w:rPr>
          <w:rFonts w:ascii="Calibri" w:hAnsi="Calibri"/>
          <w:b/>
          <w:color w:val="000000"/>
          <w:sz w:val="20"/>
          <w:szCs w:val="20"/>
          <w:lang w:val="en-AU"/>
        </w:rPr>
        <w:t xml:space="preserve"> </w:t>
      </w:r>
      <w:r w:rsidR="00E76CC8">
        <w:rPr>
          <w:rFonts w:ascii="Calibri" w:hAnsi="Calibri"/>
          <w:b/>
          <w:color w:val="000000"/>
          <w:sz w:val="20"/>
          <w:szCs w:val="20"/>
          <w:lang w:val="en-AU"/>
        </w:rPr>
        <w:t>with</w:t>
      </w:r>
      <w:r w:rsidR="000E2901">
        <w:rPr>
          <w:rFonts w:ascii="Calibri" w:hAnsi="Calibri"/>
          <w:b/>
          <w:color w:val="000000"/>
          <w:sz w:val="20"/>
          <w:szCs w:val="20"/>
          <w:lang w:val="en-AU"/>
        </w:rPr>
        <w:t xml:space="preserve"> broad scope</w:t>
      </w:r>
      <w:r w:rsidR="00F42824">
        <w:rPr>
          <w:rFonts w:ascii="Calibri" w:hAnsi="Calibri"/>
          <w:b/>
          <w:color w:val="000000"/>
          <w:sz w:val="20"/>
          <w:szCs w:val="20"/>
          <w:lang w:val="en-AU"/>
        </w:rPr>
        <w:t>.</w:t>
      </w:r>
      <w:r w:rsidR="00F42824">
        <w:rPr>
          <w:rFonts w:ascii="Calibri" w:hAnsi="Calibri"/>
          <w:color w:val="000000"/>
          <w:sz w:val="20"/>
          <w:szCs w:val="20"/>
          <w:lang w:val="en-AU"/>
        </w:rPr>
        <w:t xml:space="preserve"> </w:t>
      </w:r>
      <w:r>
        <w:rPr>
          <w:rFonts w:ascii="Calibri" w:hAnsi="Calibri"/>
          <w:color w:val="000000"/>
          <w:sz w:val="20"/>
          <w:szCs w:val="20"/>
          <w:lang w:val="en-AU"/>
        </w:rPr>
        <w:t xml:space="preserve">Many of the iXc’s programs </w:t>
      </w:r>
      <w:r w:rsidR="002C1DD1">
        <w:rPr>
          <w:rFonts w:ascii="Calibri" w:hAnsi="Calibri"/>
          <w:color w:val="000000"/>
          <w:sz w:val="20"/>
          <w:szCs w:val="20"/>
          <w:lang w:val="en-AU"/>
        </w:rPr>
        <w:t>intentionally adopted a wide focus</w:t>
      </w:r>
      <w:r>
        <w:rPr>
          <w:rFonts w:ascii="Calibri" w:hAnsi="Calibri"/>
          <w:color w:val="000000"/>
          <w:sz w:val="20"/>
          <w:szCs w:val="20"/>
          <w:lang w:val="en-AU"/>
        </w:rPr>
        <w:t xml:space="preserve">, inviting applications from and awarding </w:t>
      </w:r>
      <w:r w:rsidR="000E2901">
        <w:rPr>
          <w:rFonts w:ascii="Calibri" w:hAnsi="Calibri"/>
          <w:color w:val="000000"/>
          <w:sz w:val="20"/>
          <w:szCs w:val="20"/>
          <w:lang w:val="en-AU"/>
        </w:rPr>
        <w:t>funding</w:t>
      </w:r>
      <w:r>
        <w:rPr>
          <w:rFonts w:ascii="Calibri" w:hAnsi="Calibri"/>
          <w:color w:val="000000"/>
          <w:sz w:val="20"/>
          <w:szCs w:val="20"/>
          <w:lang w:val="en-AU"/>
        </w:rPr>
        <w:t xml:space="preserve"> to a diversity of </w:t>
      </w:r>
      <w:r w:rsidR="002C1DD1">
        <w:rPr>
          <w:rFonts w:ascii="Calibri" w:hAnsi="Calibri"/>
          <w:color w:val="000000"/>
          <w:sz w:val="20"/>
          <w:szCs w:val="20"/>
          <w:lang w:val="en-AU"/>
        </w:rPr>
        <w:t xml:space="preserve">actors and </w:t>
      </w:r>
      <w:r>
        <w:rPr>
          <w:rFonts w:ascii="Calibri" w:hAnsi="Calibri"/>
          <w:color w:val="000000"/>
          <w:sz w:val="20"/>
          <w:szCs w:val="20"/>
          <w:lang w:val="en-AU"/>
        </w:rPr>
        <w:t>projects</w:t>
      </w:r>
      <w:r w:rsidR="002C1DD1">
        <w:rPr>
          <w:rFonts w:ascii="Calibri" w:hAnsi="Calibri"/>
          <w:color w:val="000000"/>
          <w:sz w:val="20"/>
          <w:szCs w:val="20"/>
          <w:lang w:val="en-AU"/>
        </w:rPr>
        <w:t xml:space="preserve"> to deepen learning around different</w:t>
      </w:r>
      <w:r w:rsidR="003A37D6">
        <w:rPr>
          <w:rFonts w:ascii="Calibri" w:hAnsi="Calibri"/>
          <w:color w:val="000000"/>
          <w:sz w:val="20"/>
          <w:szCs w:val="20"/>
          <w:lang w:val="en-AU"/>
        </w:rPr>
        <w:t xml:space="preserve"> innovation</w:t>
      </w:r>
      <w:r w:rsidR="002C1DD1">
        <w:rPr>
          <w:rFonts w:ascii="Calibri" w:hAnsi="Calibri"/>
          <w:color w:val="000000"/>
          <w:sz w:val="20"/>
          <w:szCs w:val="20"/>
          <w:lang w:val="en-AU"/>
        </w:rPr>
        <w:t xml:space="preserve"> models</w:t>
      </w:r>
      <w:r>
        <w:rPr>
          <w:rFonts w:ascii="Calibri" w:hAnsi="Calibri"/>
          <w:color w:val="000000"/>
          <w:sz w:val="20"/>
          <w:szCs w:val="20"/>
          <w:lang w:val="en-AU"/>
        </w:rPr>
        <w:t xml:space="preserve">. </w:t>
      </w:r>
      <w:r w:rsidR="000E2901">
        <w:rPr>
          <w:rFonts w:ascii="Calibri" w:hAnsi="Calibri"/>
          <w:color w:val="000000"/>
          <w:sz w:val="20"/>
          <w:szCs w:val="20"/>
          <w:lang w:val="en-AU"/>
        </w:rPr>
        <w:t xml:space="preserve">As an example, under </w:t>
      </w:r>
      <w:hyperlink r:id="rId19" w:history="1">
        <w:r w:rsidR="000E2901" w:rsidRPr="00393085">
          <w:rPr>
            <w:rStyle w:val="Hyperlink"/>
            <w:rFonts w:ascii="Calibri" w:hAnsi="Calibri"/>
            <w:sz w:val="20"/>
            <w:szCs w:val="20"/>
            <w:lang w:val="en-AU"/>
          </w:rPr>
          <w:t>LAUNCH Food</w:t>
        </w:r>
      </w:hyperlink>
      <w:r w:rsidR="000E2901">
        <w:rPr>
          <w:rFonts w:ascii="Calibri" w:hAnsi="Calibri"/>
          <w:color w:val="000000"/>
          <w:sz w:val="20"/>
          <w:szCs w:val="20"/>
          <w:lang w:val="en-AU"/>
        </w:rPr>
        <w:t xml:space="preserve">, fourteen projects </w:t>
      </w:r>
      <w:r w:rsidR="004F5D83">
        <w:rPr>
          <w:rFonts w:ascii="Calibri" w:hAnsi="Calibri"/>
          <w:color w:val="000000"/>
          <w:sz w:val="20"/>
          <w:szCs w:val="20"/>
          <w:lang w:val="en-AU"/>
        </w:rPr>
        <w:t xml:space="preserve">were supported, spanning </w:t>
      </w:r>
      <w:r w:rsidR="000E2901">
        <w:rPr>
          <w:rFonts w:ascii="Calibri" w:hAnsi="Calibri"/>
          <w:color w:val="000000"/>
          <w:sz w:val="20"/>
          <w:szCs w:val="20"/>
          <w:lang w:val="en-AU"/>
        </w:rPr>
        <w:t>nineteen countries</w:t>
      </w:r>
      <w:r w:rsidR="00F66AE8">
        <w:rPr>
          <w:rFonts w:ascii="Calibri" w:hAnsi="Calibri"/>
          <w:color w:val="000000"/>
          <w:sz w:val="20"/>
          <w:szCs w:val="20"/>
          <w:lang w:val="en-AU"/>
        </w:rPr>
        <w:t xml:space="preserve">; </w:t>
      </w:r>
      <w:r w:rsidR="000E2901">
        <w:rPr>
          <w:rFonts w:ascii="Calibri" w:hAnsi="Calibri"/>
          <w:color w:val="000000"/>
          <w:sz w:val="20"/>
          <w:szCs w:val="20"/>
          <w:lang w:val="en-AU"/>
        </w:rPr>
        <w:t xml:space="preserve">they ranged from </w:t>
      </w:r>
      <w:r w:rsidR="00751768">
        <w:rPr>
          <w:rFonts w:ascii="Calibri" w:hAnsi="Calibri"/>
          <w:color w:val="000000"/>
          <w:sz w:val="20"/>
          <w:szCs w:val="20"/>
          <w:lang w:val="en-AU"/>
        </w:rPr>
        <w:t xml:space="preserve">innovations targeting </w:t>
      </w:r>
      <w:r w:rsidR="000E2901">
        <w:rPr>
          <w:rFonts w:ascii="Calibri" w:hAnsi="Calibri"/>
          <w:color w:val="000000"/>
          <w:sz w:val="20"/>
          <w:szCs w:val="20"/>
          <w:lang w:val="en-AU"/>
        </w:rPr>
        <w:t>value-added processing, to education, robotics, and mobile applications support</w:t>
      </w:r>
      <w:r w:rsidR="00751768">
        <w:rPr>
          <w:rFonts w:ascii="Calibri" w:hAnsi="Calibri"/>
          <w:color w:val="000000"/>
          <w:sz w:val="20"/>
          <w:szCs w:val="20"/>
          <w:lang w:val="en-AU"/>
        </w:rPr>
        <w:t>ing</w:t>
      </w:r>
      <w:r w:rsidR="000E2901">
        <w:rPr>
          <w:rFonts w:ascii="Calibri" w:hAnsi="Calibri"/>
          <w:color w:val="000000"/>
          <w:sz w:val="20"/>
          <w:szCs w:val="20"/>
          <w:lang w:val="en-AU"/>
        </w:rPr>
        <w:t xml:space="preserve"> communities and consumers. </w:t>
      </w:r>
      <w:r w:rsidR="00751768">
        <w:rPr>
          <w:rFonts w:ascii="Calibri" w:hAnsi="Calibri"/>
          <w:color w:val="000000"/>
          <w:sz w:val="20"/>
          <w:szCs w:val="20"/>
          <w:lang w:val="en-AU"/>
        </w:rPr>
        <w:t>While t</w:t>
      </w:r>
      <w:r>
        <w:rPr>
          <w:rFonts w:ascii="Calibri" w:hAnsi="Calibri"/>
          <w:color w:val="000000"/>
          <w:sz w:val="20"/>
          <w:szCs w:val="20"/>
          <w:lang w:val="en-AU"/>
        </w:rPr>
        <w:t>his</w:t>
      </w:r>
      <w:r w:rsidR="000E2901">
        <w:rPr>
          <w:rFonts w:ascii="Calibri" w:hAnsi="Calibri"/>
          <w:color w:val="000000"/>
          <w:sz w:val="20"/>
          <w:szCs w:val="20"/>
          <w:lang w:val="en-AU"/>
        </w:rPr>
        <w:t xml:space="preserve"> provided </w:t>
      </w:r>
      <w:r w:rsidR="00F66AE8">
        <w:rPr>
          <w:rFonts w:ascii="Calibri" w:hAnsi="Calibri"/>
          <w:color w:val="000000"/>
          <w:sz w:val="20"/>
          <w:szCs w:val="20"/>
          <w:lang w:val="en-AU"/>
        </w:rPr>
        <w:t xml:space="preserve">the opportunity to </w:t>
      </w:r>
      <w:r w:rsidR="000E2901">
        <w:rPr>
          <w:rFonts w:ascii="Calibri" w:hAnsi="Calibri"/>
          <w:color w:val="000000"/>
          <w:sz w:val="20"/>
          <w:szCs w:val="20"/>
          <w:lang w:val="en-AU"/>
        </w:rPr>
        <w:t>generat</w:t>
      </w:r>
      <w:r w:rsidR="00F66AE8">
        <w:rPr>
          <w:rFonts w:ascii="Calibri" w:hAnsi="Calibri"/>
          <w:color w:val="000000"/>
          <w:sz w:val="20"/>
          <w:szCs w:val="20"/>
          <w:lang w:val="en-AU"/>
        </w:rPr>
        <w:t>e</w:t>
      </w:r>
      <w:r w:rsidR="000E2901">
        <w:rPr>
          <w:rFonts w:ascii="Calibri" w:hAnsi="Calibri"/>
          <w:color w:val="000000"/>
          <w:sz w:val="20"/>
          <w:szCs w:val="20"/>
          <w:lang w:val="en-AU"/>
        </w:rPr>
        <w:t xml:space="preserve"> </w:t>
      </w:r>
      <w:r w:rsidR="00FB0DD7">
        <w:rPr>
          <w:rFonts w:ascii="Calibri" w:hAnsi="Calibri"/>
          <w:color w:val="000000"/>
          <w:sz w:val="20"/>
          <w:szCs w:val="20"/>
          <w:lang w:val="en-AU"/>
        </w:rPr>
        <w:t xml:space="preserve">substantial </w:t>
      </w:r>
      <w:r w:rsidR="000E2901">
        <w:rPr>
          <w:rFonts w:ascii="Calibri" w:hAnsi="Calibri"/>
          <w:color w:val="000000"/>
          <w:sz w:val="20"/>
          <w:szCs w:val="20"/>
          <w:lang w:val="en-AU"/>
        </w:rPr>
        <w:t>learning</w:t>
      </w:r>
      <w:r w:rsidR="00F66AE8">
        <w:rPr>
          <w:rFonts w:ascii="Calibri" w:hAnsi="Calibri"/>
          <w:color w:val="000000"/>
          <w:sz w:val="20"/>
          <w:szCs w:val="20"/>
          <w:lang w:val="en-AU"/>
        </w:rPr>
        <w:t xml:space="preserve"> across different technical </w:t>
      </w:r>
      <w:r w:rsidR="002424A9">
        <w:rPr>
          <w:rFonts w:ascii="Calibri" w:hAnsi="Calibri"/>
          <w:color w:val="000000"/>
          <w:sz w:val="20"/>
          <w:szCs w:val="20"/>
          <w:lang w:val="en-AU"/>
        </w:rPr>
        <w:t xml:space="preserve">areas, </w:t>
      </w:r>
      <w:r w:rsidR="00751768">
        <w:rPr>
          <w:rFonts w:ascii="Calibri" w:hAnsi="Calibri"/>
          <w:color w:val="000000"/>
          <w:sz w:val="20"/>
          <w:szCs w:val="20"/>
          <w:lang w:val="en-AU"/>
        </w:rPr>
        <w:t>it also meant that the portfolio level</w:t>
      </w:r>
      <w:r w:rsidR="003F0EA7">
        <w:rPr>
          <w:rFonts w:ascii="Calibri" w:hAnsi="Calibri"/>
          <w:color w:val="000000"/>
          <w:sz w:val="20"/>
          <w:szCs w:val="20"/>
          <w:lang w:val="en-AU"/>
        </w:rPr>
        <w:t xml:space="preserve"> impact</w:t>
      </w:r>
      <w:r w:rsidR="00751768">
        <w:rPr>
          <w:rFonts w:ascii="Calibri" w:hAnsi="Calibri"/>
          <w:color w:val="000000"/>
          <w:sz w:val="20"/>
          <w:szCs w:val="20"/>
          <w:lang w:val="en-AU"/>
        </w:rPr>
        <w:t xml:space="preserve"> of these challenges</w:t>
      </w:r>
      <w:r w:rsidR="003F0EA7">
        <w:rPr>
          <w:rFonts w:ascii="Calibri" w:hAnsi="Calibri"/>
          <w:color w:val="000000"/>
          <w:sz w:val="20"/>
          <w:szCs w:val="20"/>
          <w:lang w:val="en-AU"/>
        </w:rPr>
        <w:t xml:space="preserve"> was more diffuse </w:t>
      </w:r>
      <w:r w:rsidR="00751768">
        <w:rPr>
          <w:rFonts w:ascii="Calibri" w:hAnsi="Calibri"/>
          <w:color w:val="000000"/>
          <w:sz w:val="20"/>
          <w:szCs w:val="20"/>
          <w:lang w:val="en-AU"/>
        </w:rPr>
        <w:t xml:space="preserve">with fewer </w:t>
      </w:r>
      <w:r w:rsidR="00F10654">
        <w:rPr>
          <w:rFonts w:ascii="Calibri" w:hAnsi="Calibri"/>
          <w:color w:val="000000"/>
          <w:sz w:val="20"/>
          <w:szCs w:val="20"/>
          <w:lang w:val="en-AU"/>
        </w:rPr>
        <w:t>options</w:t>
      </w:r>
      <w:r w:rsidR="000E2901">
        <w:rPr>
          <w:rFonts w:ascii="Calibri" w:hAnsi="Calibri"/>
          <w:color w:val="000000"/>
          <w:sz w:val="20"/>
          <w:szCs w:val="20"/>
          <w:lang w:val="en-AU"/>
        </w:rPr>
        <w:t xml:space="preserve"> for </w:t>
      </w:r>
      <w:r w:rsidR="002424A9">
        <w:rPr>
          <w:rFonts w:ascii="Calibri" w:hAnsi="Calibri"/>
          <w:color w:val="000000"/>
          <w:sz w:val="20"/>
          <w:szCs w:val="20"/>
          <w:lang w:val="en-AU"/>
        </w:rPr>
        <w:t>collaboration and knowledge sharing amongst the cohort</w:t>
      </w:r>
      <w:r w:rsidR="00DA089B">
        <w:rPr>
          <w:rFonts w:ascii="Calibri" w:hAnsi="Calibri"/>
          <w:color w:val="000000"/>
          <w:sz w:val="20"/>
          <w:szCs w:val="20"/>
          <w:lang w:val="en-AU"/>
        </w:rPr>
        <w:t xml:space="preserve">. </w:t>
      </w:r>
      <w:r w:rsidR="004F5D83">
        <w:rPr>
          <w:rFonts w:ascii="Calibri" w:hAnsi="Calibri"/>
          <w:color w:val="000000"/>
          <w:sz w:val="20"/>
          <w:szCs w:val="20"/>
          <w:lang w:val="en-AU"/>
        </w:rPr>
        <w:t>T</w:t>
      </w:r>
      <w:r w:rsidR="00751768">
        <w:rPr>
          <w:rFonts w:ascii="Calibri" w:hAnsi="Calibri"/>
          <w:color w:val="000000"/>
          <w:sz w:val="20"/>
          <w:szCs w:val="20"/>
          <w:lang w:val="en-AU"/>
        </w:rPr>
        <w:t>he iXc also explored</w:t>
      </w:r>
      <w:r w:rsidR="00DA089B">
        <w:rPr>
          <w:rFonts w:ascii="Calibri" w:hAnsi="Calibri"/>
          <w:color w:val="000000"/>
          <w:sz w:val="20"/>
          <w:szCs w:val="20"/>
          <w:lang w:val="en-AU"/>
        </w:rPr>
        <w:t xml:space="preserve"> more targeted challenges</w:t>
      </w:r>
      <w:r w:rsidR="00B8288B">
        <w:rPr>
          <w:rFonts w:ascii="Calibri" w:hAnsi="Calibri"/>
          <w:color w:val="000000"/>
          <w:sz w:val="20"/>
          <w:szCs w:val="20"/>
          <w:lang w:val="en-AU"/>
        </w:rPr>
        <w:t>,</w:t>
      </w:r>
      <w:r w:rsidR="00DA089B">
        <w:rPr>
          <w:rFonts w:ascii="Calibri" w:hAnsi="Calibri"/>
          <w:color w:val="000000"/>
          <w:sz w:val="20"/>
          <w:szCs w:val="20"/>
          <w:lang w:val="en-AU"/>
        </w:rPr>
        <w:t xml:space="preserve"> includ</w:t>
      </w:r>
      <w:r w:rsidR="00B8288B">
        <w:rPr>
          <w:rFonts w:ascii="Calibri" w:hAnsi="Calibri"/>
          <w:color w:val="000000"/>
          <w:sz w:val="20"/>
          <w:szCs w:val="20"/>
          <w:lang w:val="en-AU"/>
        </w:rPr>
        <w:t>ing</w:t>
      </w:r>
      <w:r w:rsidR="00DA089B">
        <w:rPr>
          <w:rFonts w:ascii="Calibri" w:hAnsi="Calibri"/>
          <w:color w:val="000000"/>
          <w:sz w:val="20"/>
          <w:szCs w:val="20"/>
          <w:lang w:val="en-AU"/>
        </w:rPr>
        <w:t xml:space="preserve"> </w:t>
      </w:r>
      <w:r w:rsidR="00DC473A">
        <w:rPr>
          <w:rFonts w:ascii="Calibri" w:hAnsi="Calibri"/>
          <w:color w:val="000000"/>
          <w:sz w:val="20"/>
          <w:szCs w:val="20"/>
          <w:lang w:val="en-AU"/>
        </w:rPr>
        <w:t xml:space="preserve">a partnership with </w:t>
      </w:r>
      <w:hyperlink r:id="rId20" w:history="1">
        <w:r w:rsidR="00DC473A" w:rsidRPr="00000A7E">
          <w:rPr>
            <w:rStyle w:val="Hyperlink"/>
            <w:rFonts w:ascii="Calibri" w:hAnsi="Calibri"/>
            <w:sz w:val="20"/>
            <w:szCs w:val="20"/>
            <w:lang w:val="en-AU"/>
          </w:rPr>
          <w:t xml:space="preserve">Atlassian and </w:t>
        </w:r>
        <w:r w:rsidR="00DA089B" w:rsidRPr="00000A7E">
          <w:rPr>
            <w:rStyle w:val="Hyperlink"/>
            <w:rFonts w:ascii="Calibri" w:hAnsi="Calibri"/>
            <w:sz w:val="20"/>
            <w:szCs w:val="20"/>
            <w:lang w:val="en-AU"/>
          </w:rPr>
          <w:t>MIT Solve</w:t>
        </w:r>
      </w:hyperlink>
      <w:r w:rsidR="00DA089B">
        <w:rPr>
          <w:rFonts w:ascii="Calibri" w:hAnsi="Calibri"/>
          <w:color w:val="000000"/>
          <w:sz w:val="20"/>
          <w:szCs w:val="20"/>
          <w:lang w:val="en-AU"/>
        </w:rPr>
        <w:t xml:space="preserve"> </w:t>
      </w:r>
      <w:r w:rsidR="00A273EF">
        <w:rPr>
          <w:rFonts w:ascii="Calibri" w:hAnsi="Calibri"/>
          <w:color w:val="000000"/>
          <w:sz w:val="20"/>
          <w:szCs w:val="20"/>
          <w:lang w:val="en-AU"/>
        </w:rPr>
        <w:t>f</w:t>
      </w:r>
      <w:r w:rsidR="00850E95">
        <w:rPr>
          <w:rFonts w:ascii="Calibri" w:hAnsi="Calibri"/>
          <w:color w:val="000000"/>
          <w:sz w:val="20"/>
          <w:szCs w:val="20"/>
          <w:lang w:val="en-AU"/>
        </w:rPr>
        <w:t xml:space="preserve">ocussed on </w:t>
      </w:r>
      <w:r w:rsidR="00850E95" w:rsidRPr="006E3CDA">
        <w:rPr>
          <w:rFonts w:ascii="Calibri" w:hAnsi="Calibri"/>
          <w:color w:val="000000"/>
          <w:sz w:val="20"/>
          <w:szCs w:val="20"/>
        </w:rPr>
        <w:t>prepar</w:t>
      </w:r>
      <w:r w:rsidR="00850E95">
        <w:rPr>
          <w:rFonts w:ascii="Calibri" w:hAnsi="Calibri"/>
          <w:color w:val="000000"/>
          <w:sz w:val="20"/>
          <w:szCs w:val="20"/>
        </w:rPr>
        <w:t>ing</w:t>
      </w:r>
      <w:r w:rsidR="00850E95" w:rsidRPr="006E3CDA">
        <w:rPr>
          <w:rFonts w:ascii="Calibri" w:hAnsi="Calibri"/>
          <w:color w:val="000000"/>
          <w:sz w:val="20"/>
          <w:szCs w:val="20"/>
        </w:rPr>
        <w:t xml:space="preserve"> disadvantaged youth for the workforce of the </w:t>
      </w:r>
      <w:r w:rsidR="00850E95">
        <w:rPr>
          <w:rFonts w:ascii="Calibri" w:hAnsi="Calibri"/>
          <w:color w:val="000000"/>
          <w:sz w:val="20"/>
          <w:szCs w:val="20"/>
        </w:rPr>
        <w:t>future</w:t>
      </w:r>
      <w:r w:rsidR="00A273EF">
        <w:rPr>
          <w:rFonts w:ascii="Calibri" w:hAnsi="Calibri"/>
          <w:color w:val="000000"/>
          <w:sz w:val="20"/>
          <w:szCs w:val="20"/>
          <w:lang w:val="en-AU"/>
        </w:rPr>
        <w:t xml:space="preserve">, </w:t>
      </w:r>
      <w:r w:rsidR="00DA089B">
        <w:rPr>
          <w:rFonts w:ascii="Calibri" w:hAnsi="Calibri"/>
          <w:color w:val="000000"/>
          <w:sz w:val="20"/>
          <w:szCs w:val="20"/>
          <w:lang w:val="en-AU"/>
        </w:rPr>
        <w:t xml:space="preserve">and </w:t>
      </w:r>
      <w:r w:rsidR="00DC473A">
        <w:rPr>
          <w:rFonts w:ascii="Calibri" w:hAnsi="Calibri"/>
          <w:color w:val="000000"/>
          <w:sz w:val="20"/>
          <w:szCs w:val="20"/>
          <w:lang w:val="en-AU"/>
        </w:rPr>
        <w:t xml:space="preserve">a call for Australia’s </w:t>
      </w:r>
      <w:hyperlink r:id="rId21" w:history="1">
        <w:r w:rsidR="00DC473A" w:rsidRPr="00AD45F9">
          <w:rPr>
            <w:rStyle w:val="Hyperlink"/>
            <w:rFonts w:ascii="Calibri" w:hAnsi="Calibri"/>
            <w:sz w:val="20"/>
            <w:szCs w:val="20"/>
            <w:lang w:val="en-GB"/>
          </w:rPr>
          <w:t>MIKTA partners</w:t>
        </w:r>
      </w:hyperlink>
      <w:r w:rsidR="00DC473A" w:rsidRPr="00DC473A">
        <w:rPr>
          <w:rFonts w:ascii="Calibri" w:hAnsi="Calibri"/>
          <w:color w:val="000000"/>
          <w:sz w:val="20"/>
          <w:szCs w:val="20"/>
          <w:lang w:val="en-GB"/>
        </w:rPr>
        <w:t xml:space="preserve"> (Mexico, Indonesia, Korea and Turkey)</w:t>
      </w:r>
      <w:r w:rsidR="00DC473A">
        <w:rPr>
          <w:rFonts w:ascii="Calibri" w:hAnsi="Calibri"/>
          <w:color w:val="000000"/>
          <w:sz w:val="20"/>
          <w:szCs w:val="20"/>
          <w:lang w:val="en-AU"/>
        </w:rPr>
        <w:t xml:space="preserve"> to surface</w:t>
      </w:r>
      <w:r w:rsidR="00850E95">
        <w:rPr>
          <w:rFonts w:ascii="Calibri" w:hAnsi="Calibri"/>
          <w:color w:val="000000"/>
          <w:sz w:val="20"/>
          <w:szCs w:val="20"/>
          <w:lang w:val="en-AU"/>
        </w:rPr>
        <w:t xml:space="preserve"> </w:t>
      </w:r>
      <w:r w:rsidR="00850E95" w:rsidRPr="00850E95">
        <w:rPr>
          <w:rFonts w:ascii="Calibri" w:hAnsi="Calibri"/>
          <w:color w:val="000000"/>
          <w:sz w:val="20"/>
          <w:szCs w:val="20"/>
          <w:lang w:val="en-GB"/>
        </w:rPr>
        <w:t xml:space="preserve">innovative </w:t>
      </w:r>
      <w:r w:rsidR="00850E95">
        <w:rPr>
          <w:rFonts w:ascii="Calibri" w:hAnsi="Calibri"/>
          <w:color w:val="000000"/>
          <w:sz w:val="20"/>
          <w:szCs w:val="20"/>
          <w:lang w:val="en-GB"/>
        </w:rPr>
        <w:t>methods</w:t>
      </w:r>
      <w:r w:rsidR="00850E95" w:rsidRPr="00850E95">
        <w:rPr>
          <w:rFonts w:ascii="Calibri" w:hAnsi="Calibri"/>
          <w:color w:val="000000"/>
          <w:sz w:val="20"/>
          <w:szCs w:val="20"/>
          <w:lang w:val="en-GB"/>
        </w:rPr>
        <w:t xml:space="preserve"> of educating children in emergencies</w:t>
      </w:r>
      <w:r w:rsidR="00DA089B">
        <w:rPr>
          <w:rFonts w:ascii="Calibri" w:hAnsi="Calibri"/>
          <w:color w:val="000000"/>
          <w:sz w:val="20"/>
          <w:szCs w:val="20"/>
          <w:lang w:val="en-AU"/>
        </w:rPr>
        <w:t>.</w:t>
      </w:r>
      <w:r w:rsidR="002424A9">
        <w:rPr>
          <w:rStyle w:val="CommentReference"/>
          <w:rFonts w:asciiTheme="minorHAnsi" w:eastAsiaTheme="minorHAnsi" w:hAnsiTheme="minorHAnsi" w:cstheme="minorBidi"/>
        </w:rPr>
        <w:t xml:space="preserve"> </w:t>
      </w:r>
    </w:p>
    <w:p w14:paraId="59C92385" w14:textId="12358A6F" w:rsidR="00913AEC" w:rsidRPr="004B3125" w:rsidRDefault="00211504" w:rsidP="009349B6">
      <w:pPr>
        <w:pStyle w:val="ListParagraph"/>
        <w:numPr>
          <w:ilvl w:val="0"/>
          <w:numId w:val="1"/>
        </w:numPr>
        <w:spacing w:before="0" w:beforeAutospacing="0" w:after="80" w:afterAutospacing="0"/>
        <w:jc w:val="both"/>
        <w:rPr>
          <w:rFonts w:ascii="Calibri" w:hAnsi="Calibri"/>
          <w:color w:val="000000"/>
          <w:sz w:val="20"/>
          <w:szCs w:val="20"/>
          <w:lang w:val="en-AU"/>
        </w:rPr>
      </w:pPr>
      <w:r w:rsidRPr="00867F3E">
        <w:rPr>
          <w:rFonts w:ascii="Calibri" w:hAnsi="Calibri"/>
          <w:b/>
          <w:color w:val="000000"/>
          <w:sz w:val="20"/>
          <w:szCs w:val="20"/>
          <w:lang w:val="en-AU"/>
        </w:rPr>
        <w:t>A balanced approach to investment</w:t>
      </w:r>
      <w:r w:rsidR="00AD6CF2" w:rsidRPr="00867F3E">
        <w:rPr>
          <w:rFonts w:ascii="Calibri" w:hAnsi="Calibri"/>
          <w:color w:val="000000"/>
          <w:sz w:val="20"/>
          <w:szCs w:val="20"/>
          <w:lang w:val="en-AU"/>
        </w:rPr>
        <w:t xml:space="preserve">. In terms of the number of grants awarded, </w:t>
      </w:r>
      <w:r w:rsidR="003F0EA7" w:rsidRPr="00867F3E">
        <w:rPr>
          <w:rFonts w:ascii="Calibri" w:hAnsi="Calibri"/>
          <w:color w:val="000000"/>
          <w:sz w:val="20"/>
          <w:szCs w:val="20"/>
          <w:lang w:val="en-AU"/>
        </w:rPr>
        <w:t>the iXc supported</w:t>
      </w:r>
      <w:r w:rsidR="006E6ACB" w:rsidRPr="00867F3E">
        <w:rPr>
          <w:rFonts w:ascii="Calibri" w:hAnsi="Calibri"/>
          <w:color w:val="000000"/>
          <w:sz w:val="20"/>
          <w:szCs w:val="20"/>
          <w:lang w:val="en-AU"/>
        </w:rPr>
        <w:t xml:space="preserve"> </w:t>
      </w:r>
      <w:r w:rsidRPr="00867F3E">
        <w:rPr>
          <w:rFonts w:ascii="Calibri" w:hAnsi="Calibri"/>
          <w:color w:val="000000"/>
          <w:sz w:val="20"/>
          <w:szCs w:val="20"/>
          <w:lang w:val="en-AU"/>
        </w:rPr>
        <w:t xml:space="preserve">a majority of </w:t>
      </w:r>
      <w:r w:rsidR="00AD6CF2" w:rsidRPr="00867F3E">
        <w:rPr>
          <w:rFonts w:ascii="Calibri" w:hAnsi="Calibri"/>
          <w:color w:val="000000"/>
          <w:sz w:val="20"/>
          <w:szCs w:val="20"/>
          <w:lang w:val="en-AU"/>
        </w:rPr>
        <w:t xml:space="preserve">innovations at the </w:t>
      </w:r>
      <w:r w:rsidR="006E6ACB" w:rsidRPr="00867F3E">
        <w:rPr>
          <w:rFonts w:ascii="Calibri" w:hAnsi="Calibri"/>
          <w:color w:val="000000"/>
          <w:sz w:val="20"/>
          <w:szCs w:val="20"/>
          <w:lang w:val="en-AU"/>
        </w:rPr>
        <w:t>‘</w:t>
      </w:r>
      <w:r w:rsidR="003E4B7B">
        <w:rPr>
          <w:rFonts w:ascii="Calibri" w:hAnsi="Calibri"/>
          <w:color w:val="000000"/>
          <w:sz w:val="20"/>
          <w:szCs w:val="20"/>
          <w:lang w:val="en-AU"/>
        </w:rPr>
        <w:t>Research and Development’ and ‘Proof of Concept’</w:t>
      </w:r>
      <w:r w:rsidR="00AD6CF2" w:rsidRPr="00867F3E">
        <w:rPr>
          <w:rFonts w:ascii="Calibri" w:hAnsi="Calibri"/>
          <w:color w:val="000000"/>
          <w:sz w:val="20"/>
          <w:szCs w:val="20"/>
          <w:lang w:val="en-AU"/>
        </w:rPr>
        <w:t xml:space="preserve"> stage</w:t>
      </w:r>
      <w:r w:rsidR="003E4B7B">
        <w:rPr>
          <w:rFonts w:ascii="Calibri" w:hAnsi="Calibri"/>
          <w:color w:val="000000"/>
          <w:sz w:val="20"/>
          <w:szCs w:val="20"/>
          <w:lang w:val="en-AU"/>
        </w:rPr>
        <w:t>s</w:t>
      </w:r>
      <w:r w:rsidR="00AD6CF2" w:rsidRPr="00867F3E">
        <w:rPr>
          <w:rFonts w:ascii="Calibri" w:hAnsi="Calibri"/>
          <w:color w:val="000000"/>
          <w:sz w:val="20"/>
          <w:szCs w:val="20"/>
          <w:lang w:val="en-AU"/>
        </w:rPr>
        <w:t xml:space="preserve"> – over </w:t>
      </w:r>
      <w:r w:rsidR="003E4B7B">
        <w:rPr>
          <w:rFonts w:ascii="Calibri" w:hAnsi="Calibri"/>
          <w:color w:val="000000"/>
          <w:sz w:val="20"/>
          <w:szCs w:val="20"/>
          <w:lang w:val="en-AU"/>
        </w:rPr>
        <w:t>50</w:t>
      </w:r>
      <w:r w:rsidR="00AD6CF2" w:rsidRPr="00867F3E">
        <w:rPr>
          <w:rFonts w:ascii="Calibri" w:hAnsi="Calibri"/>
          <w:color w:val="000000"/>
          <w:sz w:val="20"/>
          <w:szCs w:val="20"/>
          <w:lang w:val="en-AU"/>
        </w:rPr>
        <w:t xml:space="preserve"> projects (around </w:t>
      </w:r>
      <w:r w:rsidR="003E4B7B">
        <w:rPr>
          <w:rFonts w:ascii="Calibri" w:hAnsi="Calibri"/>
          <w:color w:val="000000"/>
          <w:sz w:val="20"/>
          <w:szCs w:val="20"/>
          <w:lang w:val="en-AU"/>
        </w:rPr>
        <w:t>57</w:t>
      </w:r>
      <w:r w:rsidR="00AD6CF2" w:rsidRPr="00867F3E">
        <w:rPr>
          <w:rFonts w:ascii="Calibri" w:hAnsi="Calibri"/>
          <w:color w:val="000000"/>
          <w:sz w:val="20"/>
          <w:szCs w:val="20"/>
          <w:lang w:val="en-AU"/>
        </w:rPr>
        <w:t>%) fell into th</w:t>
      </w:r>
      <w:r w:rsidR="003E4B7B">
        <w:rPr>
          <w:rFonts w:ascii="Calibri" w:hAnsi="Calibri"/>
          <w:color w:val="000000"/>
          <w:sz w:val="20"/>
          <w:szCs w:val="20"/>
          <w:lang w:val="en-AU"/>
        </w:rPr>
        <w:t>ese</w:t>
      </w:r>
      <w:r w:rsidR="00AD6CF2" w:rsidRPr="00867F3E">
        <w:rPr>
          <w:rFonts w:ascii="Calibri" w:hAnsi="Calibri"/>
          <w:color w:val="000000"/>
          <w:sz w:val="20"/>
          <w:szCs w:val="20"/>
          <w:lang w:val="en-AU"/>
        </w:rPr>
        <w:t xml:space="preserve"> categor</w:t>
      </w:r>
      <w:r w:rsidR="003E4B7B">
        <w:rPr>
          <w:rFonts w:ascii="Calibri" w:hAnsi="Calibri"/>
          <w:color w:val="000000"/>
          <w:sz w:val="20"/>
          <w:szCs w:val="20"/>
          <w:lang w:val="en-AU"/>
        </w:rPr>
        <w:t>ies</w:t>
      </w:r>
      <w:r w:rsidR="004B3125">
        <w:rPr>
          <w:rFonts w:ascii="Calibri" w:hAnsi="Calibri"/>
          <w:color w:val="000000"/>
          <w:sz w:val="20"/>
          <w:szCs w:val="20"/>
          <w:lang w:val="en-AU"/>
        </w:rPr>
        <w:t>.</w:t>
      </w:r>
      <w:r w:rsidR="00AD6CF2" w:rsidRPr="004B3125">
        <w:rPr>
          <w:rFonts w:ascii="Calibri" w:hAnsi="Calibri"/>
          <w:color w:val="000000"/>
          <w:sz w:val="20"/>
          <w:szCs w:val="20"/>
          <w:lang w:val="en-AU"/>
        </w:rPr>
        <w:t xml:space="preserve"> </w:t>
      </w:r>
      <w:r w:rsidR="004B3125">
        <w:rPr>
          <w:rFonts w:ascii="Calibri" w:hAnsi="Calibri"/>
          <w:color w:val="000000"/>
          <w:sz w:val="20"/>
          <w:szCs w:val="20"/>
          <w:lang w:val="en-AU"/>
        </w:rPr>
        <w:t>T</w:t>
      </w:r>
      <w:r w:rsidR="00AD6CF2" w:rsidRPr="004B3125">
        <w:rPr>
          <w:rFonts w:ascii="Calibri" w:hAnsi="Calibri"/>
          <w:color w:val="000000"/>
          <w:sz w:val="20"/>
          <w:szCs w:val="20"/>
          <w:lang w:val="en-AU"/>
        </w:rPr>
        <w:t>he next largest group</w:t>
      </w:r>
      <w:r w:rsidR="00D07477" w:rsidRPr="004B3125">
        <w:rPr>
          <w:rFonts w:ascii="Calibri" w:hAnsi="Calibri"/>
          <w:color w:val="000000"/>
          <w:sz w:val="20"/>
          <w:szCs w:val="20"/>
          <w:lang w:val="en-AU"/>
        </w:rPr>
        <w:t xml:space="preserve"> </w:t>
      </w:r>
      <w:r w:rsidR="004B3125">
        <w:rPr>
          <w:rFonts w:ascii="Calibri" w:hAnsi="Calibri"/>
          <w:color w:val="000000"/>
          <w:sz w:val="20"/>
          <w:szCs w:val="20"/>
          <w:lang w:val="en-AU"/>
        </w:rPr>
        <w:t>was</w:t>
      </w:r>
      <w:r w:rsidR="00D07477" w:rsidRPr="004B3125">
        <w:rPr>
          <w:rFonts w:ascii="Calibri" w:hAnsi="Calibri"/>
          <w:color w:val="000000"/>
          <w:sz w:val="20"/>
          <w:szCs w:val="20"/>
          <w:lang w:val="en-AU"/>
        </w:rPr>
        <w:t xml:space="preserve"> the</w:t>
      </w:r>
      <w:r w:rsidR="006E6ACB" w:rsidRPr="004B3125">
        <w:rPr>
          <w:rFonts w:ascii="Calibri" w:hAnsi="Calibri"/>
          <w:color w:val="000000"/>
          <w:sz w:val="20"/>
          <w:szCs w:val="20"/>
          <w:lang w:val="en-AU"/>
        </w:rPr>
        <w:t xml:space="preserve"> ‘</w:t>
      </w:r>
      <w:r w:rsidR="003E4B7B" w:rsidRPr="004B3125">
        <w:rPr>
          <w:rFonts w:ascii="Calibri" w:hAnsi="Calibri"/>
          <w:color w:val="000000"/>
          <w:sz w:val="20"/>
          <w:szCs w:val="20"/>
          <w:lang w:val="en-AU"/>
        </w:rPr>
        <w:t>Transition to Scale’</w:t>
      </w:r>
      <w:r w:rsidR="00D07477" w:rsidRPr="004B3125">
        <w:rPr>
          <w:rFonts w:ascii="Calibri" w:hAnsi="Calibri"/>
          <w:color w:val="000000"/>
          <w:sz w:val="20"/>
          <w:szCs w:val="20"/>
          <w:lang w:val="en-AU"/>
        </w:rPr>
        <w:t xml:space="preserve"> stage (around </w:t>
      </w:r>
      <w:r w:rsidR="003E4B7B" w:rsidRPr="004B3125">
        <w:rPr>
          <w:rFonts w:ascii="Calibri" w:hAnsi="Calibri"/>
          <w:color w:val="000000"/>
          <w:sz w:val="20"/>
          <w:szCs w:val="20"/>
          <w:lang w:val="en-AU"/>
        </w:rPr>
        <w:t>35</w:t>
      </w:r>
      <w:r w:rsidR="00D07477" w:rsidRPr="004B3125">
        <w:rPr>
          <w:rFonts w:ascii="Calibri" w:hAnsi="Calibri"/>
          <w:color w:val="000000"/>
          <w:sz w:val="20"/>
          <w:szCs w:val="20"/>
          <w:lang w:val="en-AU"/>
        </w:rPr>
        <w:t>%</w:t>
      </w:r>
      <w:r w:rsidR="004B3125">
        <w:rPr>
          <w:rFonts w:ascii="Calibri" w:hAnsi="Calibri"/>
          <w:color w:val="000000"/>
          <w:sz w:val="20"/>
          <w:szCs w:val="20"/>
          <w:lang w:val="en-AU"/>
        </w:rPr>
        <w:t xml:space="preserve"> of projects</w:t>
      </w:r>
      <w:r w:rsidR="00D07477" w:rsidRPr="004B3125">
        <w:rPr>
          <w:rFonts w:ascii="Calibri" w:hAnsi="Calibri"/>
          <w:color w:val="000000"/>
          <w:sz w:val="20"/>
          <w:szCs w:val="20"/>
          <w:lang w:val="en-AU"/>
        </w:rPr>
        <w:t>)</w:t>
      </w:r>
      <w:r w:rsidR="004B3125">
        <w:rPr>
          <w:rFonts w:ascii="Calibri" w:hAnsi="Calibri"/>
          <w:color w:val="000000"/>
          <w:sz w:val="20"/>
          <w:szCs w:val="20"/>
          <w:lang w:val="en-AU"/>
        </w:rPr>
        <w:t xml:space="preserve"> while </w:t>
      </w:r>
      <w:r w:rsidR="0007790A" w:rsidRPr="004B3125">
        <w:rPr>
          <w:rFonts w:ascii="Calibri" w:hAnsi="Calibri"/>
          <w:color w:val="000000"/>
          <w:sz w:val="20"/>
          <w:szCs w:val="20"/>
          <w:lang w:val="en-AU"/>
        </w:rPr>
        <w:t>7%</w:t>
      </w:r>
      <w:r w:rsidR="004B3125">
        <w:rPr>
          <w:rFonts w:ascii="Calibri" w:hAnsi="Calibri"/>
          <w:color w:val="000000"/>
          <w:sz w:val="20"/>
          <w:szCs w:val="20"/>
          <w:lang w:val="en-AU"/>
        </w:rPr>
        <w:t xml:space="preserve"> of projects were operating within the</w:t>
      </w:r>
      <w:r w:rsidR="0007790A" w:rsidRPr="004B3125">
        <w:rPr>
          <w:rFonts w:ascii="Calibri" w:hAnsi="Calibri"/>
          <w:color w:val="000000"/>
          <w:sz w:val="20"/>
          <w:szCs w:val="20"/>
          <w:lang w:val="en-AU"/>
        </w:rPr>
        <w:t xml:space="preserve"> ‘Scaling’ stage</w:t>
      </w:r>
      <w:r w:rsidR="00D07477" w:rsidRPr="004B3125">
        <w:rPr>
          <w:rFonts w:ascii="Calibri" w:hAnsi="Calibri"/>
          <w:color w:val="000000"/>
          <w:sz w:val="20"/>
          <w:szCs w:val="20"/>
          <w:lang w:val="en-AU"/>
        </w:rPr>
        <w:t xml:space="preserve">. </w:t>
      </w:r>
      <w:r w:rsidR="00751768">
        <w:rPr>
          <w:rFonts w:ascii="Calibri" w:hAnsi="Calibri"/>
          <w:color w:val="000000"/>
          <w:sz w:val="20"/>
          <w:szCs w:val="20"/>
          <w:lang w:val="en-AU"/>
        </w:rPr>
        <w:t>I</w:t>
      </w:r>
      <w:r w:rsidR="00751768" w:rsidRPr="004B3125">
        <w:rPr>
          <w:rFonts w:ascii="Calibri" w:hAnsi="Calibri"/>
          <w:color w:val="000000"/>
          <w:sz w:val="20"/>
          <w:szCs w:val="20"/>
          <w:lang w:val="en-AU"/>
        </w:rPr>
        <w:t>n line with innovation literature</w:t>
      </w:r>
      <w:r w:rsidR="00751768">
        <w:rPr>
          <w:rFonts w:ascii="Calibri" w:hAnsi="Calibri"/>
          <w:color w:val="000000"/>
          <w:sz w:val="20"/>
          <w:szCs w:val="20"/>
          <w:lang w:val="en-AU"/>
        </w:rPr>
        <w:t>,</w:t>
      </w:r>
      <w:r w:rsidR="00751768" w:rsidRPr="004B3125">
        <w:rPr>
          <w:rFonts w:ascii="Calibri" w:hAnsi="Calibri"/>
          <w:color w:val="000000"/>
          <w:sz w:val="20"/>
          <w:szCs w:val="20"/>
          <w:lang w:val="en-AU"/>
        </w:rPr>
        <w:t xml:space="preserve"> which advocates for greater investment</w:t>
      </w:r>
      <w:r w:rsidR="00751768" w:rsidRPr="004B3125">
        <w:rPr>
          <w:rFonts w:ascii="Calibri" w:hAnsi="Calibri"/>
          <w:color w:val="000000"/>
          <w:sz w:val="20"/>
          <w:szCs w:val="20"/>
        </w:rPr>
        <w:t xml:space="preserve"> through the latter half of the scaling pathway</w:t>
      </w:r>
      <w:r w:rsidR="00751768">
        <w:rPr>
          <w:rFonts w:ascii="Calibri" w:hAnsi="Calibri"/>
          <w:color w:val="000000"/>
          <w:sz w:val="20"/>
          <w:szCs w:val="20"/>
        </w:rPr>
        <w:t xml:space="preserve">, </w:t>
      </w:r>
      <w:r w:rsidR="006E6ACB" w:rsidRPr="004B3125">
        <w:rPr>
          <w:rFonts w:ascii="Calibri" w:hAnsi="Calibri"/>
          <w:color w:val="000000"/>
          <w:sz w:val="20"/>
          <w:szCs w:val="20"/>
          <w:lang w:val="en-AU"/>
        </w:rPr>
        <w:t xml:space="preserve">when looking at the total value of grants awarded </w:t>
      </w:r>
      <w:r w:rsidR="00751768">
        <w:rPr>
          <w:rFonts w:ascii="Calibri" w:hAnsi="Calibri"/>
          <w:color w:val="000000"/>
          <w:sz w:val="20"/>
          <w:szCs w:val="20"/>
          <w:lang w:val="en-AU"/>
        </w:rPr>
        <w:t>by the iXc</w:t>
      </w:r>
      <w:r w:rsidR="00AD0B80">
        <w:rPr>
          <w:rFonts w:ascii="Calibri" w:hAnsi="Calibri"/>
          <w:color w:val="000000"/>
          <w:sz w:val="20"/>
          <w:szCs w:val="20"/>
          <w:lang w:val="en-AU"/>
        </w:rPr>
        <w:t>,</w:t>
      </w:r>
      <w:r w:rsidR="00751768">
        <w:rPr>
          <w:rFonts w:ascii="Calibri" w:hAnsi="Calibri"/>
          <w:color w:val="000000"/>
          <w:sz w:val="20"/>
          <w:szCs w:val="20"/>
          <w:lang w:val="en-AU"/>
        </w:rPr>
        <w:t xml:space="preserve"> </w:t>
      </w:r>
      <w:r w:rsidR="006E6ACB" w:rsidRPr="004B3125">
        <w:rPr>
          <w:rFonts w:ascii="Calibri" w:hAnsi="Calibri"/>
          <w:color w:val="000000"/>
          <w:sz w:val="20"/>
          <w:szCs w:val="20"/>
          <w:lang w:val="en-AU"/>
        </w:rPr>
        <w:t>the</w:t>
      </w:r>
      <w:r w:rsidR="00D255B0" w:rsidRPr="004B3125">
        <w:rPr>
          <w:rFonts w:ascii="Calibri" w:hAnsi="Calibri"/>
          <w:color w:val="000000"/>
          <w:sz w:val="20"/>
          <w:szCs w:val="20"/>
          <w:lang w:val="en-AU"/>
        </w:rPr>
        <w:t xml:space="preserve"> greatest </w:t>
      </w:r>
      <w:r w:rsidR="006E6ACB" w:rsidRPr="004B3125">
        <w:rPr>
          <w:rFonts w:ascii="Calibri" w:hAnsi="Calibri"/>
          <w:color w:val="000000"/>
          <w:sz w:val="20"/>
          <w:szCs w:val="20"/>
          <w:lang w:val="en-AU"/>
        </w:rPr>
        <w:t xml:space="preserve">investment </w:t>
      </w:r>
      <w:r w:rsidR="00D255B0" w:rsidRPr="004B3125">
        <w:rPr>
          <w:rFonts w:ascii="Calibri" w:hAnsi="Calibri"/>
          <w:color w:val="000000"/>
          <w:sz w:val="20"/>
          <w:szCs w:val="20"/>
          <w:lang w:val="en-AU"/>
        </w:rPr>
        <w:t xml:space="preserve">was at the </w:t>
      </w:r>
      <w:r w:rsidR="0060108E">
        <w:rPr>
          <w:rFonts w:ascii="Calibri" w:hAnsi="Calibri"/>
          <w:color w:val="000000"/>
          <w:sz w:val="20"/>
          <w:szCs w:val="20"/>
          <w:lang w:val="en-AU"/>
        </w:rPr>
        <w:t>‘</w:t>
      </w:r>
      <w:r w:rsidR="006F2B2A">
        <w:rPr>
          <w:rFonts w:ascii="Calibri" w:hAnsi="Calibri"/>
          <w:color w:val="000000"/>
          <w:sz w:val="20"/>
          <w:szCs w:val="20"/>
          <w:lang w:val="en-AU"/>
        </w:rPr>
        <w:t>Transition to Scale</w:t>
      </w:r>
      <w:r w:rsidR="0060108E">
        <w:rPr>
          <w:rFonts w:ascii="Calibri" w:hAnsi="Calibri"/>
          <w:color w:val="000000"/>
          <w:sz w:val="20"/>
          <w:szCs w:val="20"/>
          <w:lang w:val="en-AU"/>
        </w:rPr>
        <w:t>’</w:t>
      </w:r>
      <w:r w:rsidR="006F2B2A">
        <w:rPr>
          <w:rFonts w:ascii="Calibri" w:hAnsi="Calibri"/>
          <w:color w:val="000000"/>
          <w:sz w:val="20"/>
          <w:szCs w:val="20"/>
          <w:lang w:val="en-AU"/>
        </w:rPr>
        <w:t xml:space="preserve"> and </w:t>
      </w:r>
      <w:r w:rsidR="0060108E">
        <w:rPr>
          <w:rFonts w:ascii="Calibri" w:hAnsi="Calibri"/>
          <w:color w:val="000000"/>
          <w:sz w:val="20"/>
          <w:szCs w:val="20"/>
          <w:lang w:val="en-AU"/>
        </w:rPr>
        <w:t>‘</w:t>
      </w:r>
      <w:r w:rsidR="0005266F">
        <w:rPr>
          <w:rFonts w:ascii="Calibri" w:hAnsi="Calibri"/>
          <w:color w:val="000000"/>
          <w:sz w:val="20"/>
          <w:szCs w:val="20"/>
          <w:lang w:val="en-AU"/>
        </w:rPr>
        <w:t>Scaling</w:t>
      </w:r>
      <w:r w:rsidR="0060108E">
        <w:rPr>
          <w:rFonts w:ascii="Calibri" w:hAnsi="Calibri"/>
          <w:color w:val="000000"/>
          <w:sz w:val="20"/>
          <w:szCs w:val="20"/>
          <w:lang w:val="en-AU"/>
        </w:rPr>
        <w:t>’</w:t>
      </w:r>
      <w:r w:rsidR="006E6ACB" w:rsidRPr="004B3125">
        <w:rPr>
          <w:rFonts w:ascii="Calibri" w:hAnsi="Calibri"/>
          <w:color w:val="000000"/>
          <w:sz w:val="20"/>
          <w:szCs w:val="20"/>
          <w:lang w:val="en-AU"/>
        </w:rPr>
        <w:t xml:space="preserve"> stage</w:t>
      </w:r>
      <w:r w:rsidR="006F2B2A">
        <w:rPr>
          <w:rFonts w:ascii="Calibri" w:hAnsi="Calibri"/>
          <w:color w:val="000000"/>
          <w:sz w:val="20"/>
          <w:szCs w:val="20"/>
          <w:lang w:val="en-AU"/>
        </w:rPr>
        <w:t>s</w:t>
      </w:r>
      <w:r w:rsidR="00712BB5" w:rsidRPr="004B3125">
        <w:rPr>
          <w:rFonts w:ascii="Calibri" w:hAnsi="Calibri"/>
          <w:color w:val="000000"/>
          <w:sz w:val="20"/>
          <w:szCs w:val="20"/>
          <w:lang w:val="en-AU"/>
        </w:rPr>
        <w:t xml:space="preserve">, with around </w:t>
      </w:r>
      <w:r w:rsidR="00313B8D">
        <w:rPr>
          <w:rFonts w:ascii="Calibri" w:hAnsi="Calibri"/>
          <w:color w:val="000000"/>
          <w:sz w:val="20"/>
          <w:szCs w:val="20"/>
          <w:lang w:val="en-AU"/>
        </w:rPr>
        <w:t>30</w:t>
      </w:r>
      <w:r w:rsidR="00712BB5" w:rsidRPr="004B3125">
        <w:rPr>
          <w:rFonts w:ascii="Calibri" w:hAnsi="Calibri"/>
          <w:color w:val="000000"/>
          <w:sz w:val="20"/>
          <w:szCs w:val="20"/>
          <w:lang w:val="en-AU"/>
        </w:rPr>
        <w:t xml:space="preserve">% of </w:t>
      </w:r>
      <w:r w:rsidR="002F5665" w:rsidRPr="004B3125">
        <w:rPr>
          <w:rFonts w:ascii="Calibri" w:hAnsi="Calibri"/>
          <w:color w:val="000000"/>
          <w:sz w:val="20"/>
          <w:szCs w:val="20"/>
          <w:lang w:val="en-AU"/>
        </w:rPr>
        <w:t>expenditure</w:t>
      </w:r>
      <w:r w:rsidR="00712BB5" w:rsidRPr="004B3125">
        <w:rPr>
          <w:rFonts w:ascii="Calibri" w:hAnsi="Calibri"/>
          <w:color w:val="000000"/>
          <w:sz w:val="20"/>
          <w:szCs w:val="20"/>
          <w:lang w:val="en-AU"/>
        </w:rPr>
        <w:t xml:space="preserve"> </w:t>
      </w:r>
      <w:r w:rsidR="00782A58" w:rsidRPr="004B3125">
        <w:rPr>
          <w:rFonts w:ascii="Calibri" w:hAnsi="Calibri"/>
          <w:color w:val="000000"/>
          <w:sz w:val="20"/>
          <w:szCs w:val="20"/>
          <w:lang w:val="en-AU"/>
        </w:rPr>
        <w:t>across</w:t>
      </w:r>
      <w:r w:rsidR="00712BB5" w:rsidRPr="004B3125">
        <w:rPr>
          <w:rFonts w:ascii="Calibri" w:hAnsi="Calibri"/>
          <w:color w:val="000000"/>
          <w:sz w:val="20"/>
          <w:szCs w:val="20"/>
          <w:lang w:val="en-AU"/>
        </w:rPr>
        <w:t xml:space="preserve"> these categories</w:t>
      </w:r>
      <w:r w:rsidR="00F9603C">
        <w:rPr>
          <w:rFonts w:ascii="Calibri" w:hAnsi="Calibri"/>
          <w:color w:val="000000"/>
          <w:sz w:val="20"/>
          <w:szCs w:val="20"/>
          <w:lang w:val="en-AU"/>
        </w:rPr>
        <w:t>.</w:t>
      </w:r>
      <w:r w:rsidRPr="00867F3E">
        <w:rPr>
          <w:rStyle w:val="FootnoteReference"/>
          <w:rFonts w:ascii="Calibri" w:hAnsi="Calibri"/>
          <w:color w:val="000000"/>
          <w:sz w:val="20"/>
          <w:szCs w:val="20"/>
          <w:lang w:val="en-AU"/>
        </w:rPr>
        <w:footnoteReference w:id="8"/>
      </w:r>
    </w:p>
    <w:p w14:paraId="55457DD2" w14:textId="6863C788" w:rsidR="00913AEC" w:rsidRPr="001C18A7" w:rsidRDefault="00407EFA" w:rsidP="009349B6">
      <w:pPr>
        <w:pStyle w:val="ListParagraph"/>
        <w:numPr>
          <w:ilvl w:val="0"/>
          <w:numId w:val="1"/>
        </w:numPr>
        <w:spacing w:before="0" w:beforeAutospacing="0" w:after="80" w:afterAutospacing="0"/>
        <w:jc w:val="both"/>
        <w:rPr>
          <w:sz w:val="20"/>
          <w:szCs w:val="20"/>
          <w:lang w:val="en-AU"/>
        </w:rPr>
      </w:pPr>
      <w:r>
        <w:rPr>
          <w:rFonts w:ascii="Calibri" w:hAnsi="Calibri"/>
          <w:b/>
          <w:color w:val="000000"/>
          <w:sz w:val="20"/>
          <w:szCs w:val="20"/>
          <w:lang w:val="en-AU"/>
        </w:rPr>
        <w:lastRenderedPageBreak/>
        <w:t>A</w:t>
      </w:r>
      <w:r w:rsidR="00913AEC" w:rsidRPr="00873865">
        <w:rPr>
          <w:rFonts w:ascii="Calibri" w:hAnsi="Calibri"/>
          <w:b/>
          <w:color w:val="000000"/>
          <w:sz w:val="20"/>
          <w:szCs w:val="20"/>
          <w:lang w:val="en-AU"/>
        </w:rPr>
        <w:t xml:space="preserve"> </w:t>
      </w:r>
      <w:r w:rsidR="00751768">
        <w:rPr>
          <w:rFonts w:ascii="Calibri" w:hAnsi="Calibri"/>
          <w:b/>
          <w:color w:val="000000"/>
          <w:sz w:val="20"/>
          <w:szCs w:val="20"/>
          <w:lang w:val="en-AU"/>
        </w:rPr>
        <w:t>low level of risk-tolerance</w:t>
      </w:r>
      <w:r w:rsidR="00873865">
        <w:rPr>
          <w:rFonts w:ascii="Calibri" w:hAnsi="Calibri"/>
          <w:color w:val="000000"/>
          <w:sz w:val="20"/>
          <w:szCs w:val="20"/>
          <w:lang w:val="en-AU"/>
        </w:rPr>
        <w:t>.</w:t>
      </w:r>
      <w:r w:rsidR="00913AEC" w:rsidRPr="002A4E7E">
        <w:rPr>
          <w:rFonts w:ascii="Calibri" w:hAnsi="Calibri"/>
          <w:color w:val="000000"/>
          <w:sz w:val="20"/>
          <w:szCs w:val="20"/>
          <w:lang w:val="en-AU"/>
        </w:rPr>
        <w:t xml:space="preserve"> </w:t>
      </w:r>
      <w:r>
        <w:rPr>
          <w:rFonts w:ascii="Calibri" w:hAnsi="Calibri"/>
          <w:color w:val="000000"/>
          <w:sz w:val="20"/>
          <w:szCs w:val="20"/>
          <w:lang w:val="en-AU"/>
        </w:rPr>
        <w:t>Of the projects in the portfolio ascribed a risk rating, less than 5% were ranked high risk an</w:t>
      </w:r>
      <w:r w:rsidR="006D400D">
        <w:rPr>
          <w:rFonts w:ascii="Calibri" w:hAnsi="Calibri"/>
          <w:color w:val="000000"/>
          <w:sz w:val="20"/>
          <w:szCs w:val="20"/>
          <w:lang w:val="en-AU"/>
        </w:rPr>
        <w:t>d</w:t>
      </w:r>
      <w:r>
        <w:rPr>
          <w:rFonts w:ascii="Calibri" w:hAnsi="Calibri"/>
          <w:color w:val="000000"/>
          <w:sz w:val="20"/>
          <w:szCs w:val="20"/>
          <w:lang w:val="en-AU"/>
        </w:rPr>
        <w:t xml:space="preserve"> this was consistent whether looking at the number of projects or their total value.</w:t>
      </w:r>
      <w:r w:rsidR="006773D7">
        <w:rPr>
          <w:rFonts w:ascii="Calibri" w:hAnsi="Calibri"/>
          <w:color w:val="000000"/>
          <w:sz w:val="20"/>
          <w:szCs w:val="20"/>
          <w:lang w:val="en-AU"/>
        </w:rPr>
        <w:t xml:space="preserve"> T</w:t>
      </w:r>
      <w:r>
        <w:rPr>
          <w:rFonts w:ascii="Calibri" w:hAnsi="Calibri"/>
          <w:color w:val="000000"/>
          <w:sz w:val="20"/>
          <w:szCs w:val="20"/>
          <w:lang w:val="en-AU"/>
        </w:rPr>
        <w:t xml:space="preserve">his </w:t>
      </w:r>
      <w:r w:rsidR="006773D7">
        <w:rPr>
          <w:rFonts w:ascii="Calibri" w:hAnsi="Calibri"/>
          <w:color w:val="000000"/>
          <w:sz w:val="20"/>
          <w:szCs w:val="20"/>
          <w:lang w:val="en-AU"/>
        </w:rPr>
        <w:t xml:space="preserve">apparent orientation towards lower-risk investments </w:t>
      </w:r>
      <w:r w:rsidR="00751768">
        <w:rPr>
          <w:rFonts w:ascii="Calibri" w:hAnsi="Calibri"/>
          <w:color w:val="000000"/>
          <w:sz w:val="20"/>
          <w:szCs w:val="20"/>
          <w:lang w:val="en-AU"/>
        </w:rPr>
        <w:t>is typical of many new innovation units – particularly those established within governments that are taxpayer</w:t>
      </w:r>
      <w:r w:rsidR="008D0A1E">
        <w:rPr>
          <w:rFonts w:ascii="Calibri" w:hAnsi="Calibri"/>
          <w:color w:val="000000"/>
          <w:sz w:val="20"/>
          <w:szCs w:val="20"/>
          <w:lang w:val="en-AU"/>
        </w:rPr>
        <w:t>-f</w:t>
      </w:r>
      <w:r w:rsidR="00751768">
        <w:rPr>
          <w:rFonts w:ascii="Calibri" w:hAnsi="Calibri"/>
          <w:color w:val="000000"/>
          <w:sz w:val="20"/>
          <w:szCs w:val="20"/>
          <w:lang w:val="en-AU"/>
        </w:rPr>
        <w:t xml:space="preserve">unded. </w:t>
      </w:r>
      <w:r w:rsidR="00310C9D">
        <w:rPr>
          <w:rFonts w:ascii="Calibri" w:hAnsi="Calibri"/>
          <w:color w:val="000000"/>
          <w:sz w:val="20"/>
          <w:szCs w:val="20"/>
          <w:lang w:val="en-AU"/>
        </w:rPr>
        <w:t xml:space="preserve">The iXc may want to revisit the spread of risk across its portfolio going forward and leverage the learning and experience it has amassed over its first few years to increase its own </w:t>
      </w:r>
      <w:r w:rsidR="00751768">
        <w:rPr>
          <w:rFonts w:ascii="Calibri" w:hAnsi="Calibri"/>
          <w:color w:val="000000"/>
          <w:sz w:val="20"/>
          <w:szCs w:val="20"/>
          <w:lang w:val="en-AU"/>
        </w:rPr>
        <w:t>appetite</w:t>
      </w:r>
      <w:r w:rsidR="00310C9D">
        <w:rPr>
          <w:rFonts w:ascii="Calibri" w:hAnsi="Calibri"/>
          <w:color w:val="000000"/>
          <w:sz w:val="20"/>
          <w:szCs w:val="20"/>
          <w:lang w:val="en-AU"/>
        </w:rPr>
        <w:t xml:space="preserve"> (and that of DFAT more broadly)</w:t>
      </w:r>
      <w:r w:rsidR="00751768">
        <w:rPr>
          <w:rFonts w:ascii="Calibri" w:hAnsi="Calibri"/>
          <w:color w:val="000000"/>
          <w:sz w:val="20"/>
          <w:szCs w:val="20"/>
          <w:lang w:val="en-AU"/>
        </w:rPr>
        <w:t xml:space="preserve"> </w:t>
      </w:r>
      <w:r w:rsidR="00310C9D">
        <w:rPr>
          <w:rFonts w:ascii="Calibri" w:hAnsi="Calibri"/>
          <w:color w:val="000000"/>
          <w:sz w:val="20"/>
          <w:szCs w:val="20"/>
          <w:lang w:val="en-AU"/>
        </w:rPr>
        <w:t xml:space="preserve">for higher-level risk and </w:t>
      </w:r>
      <w:r w:rsidR="00566021">
        <w:rPr>
          <w:rFonts w:ascii="Calibri" w:hAnsi="Calibri"/>
          <w:color w:val="000000"/>
          <w:sz w:val="20"/>
          <w:szCs w:val="20"/>
          <w:lang w:val="en-AU"/>
        </w:rPr>
        <w:t xml:space="preserve">experimentation </w:t>
      </w:r>
      <w:r w:rsidR="00913AEC" w:rsidRPr="002A4E7E">
        <w:rPr>
          <w:rFonts w:ascii="Calibri" w:hAnsi="Calibri"/>
          <w:color w:val="000000"/>
          <w:sz w:val="20"/>
          <w:szCs w:val="20"/>
          <w:lang w:val="en-AU"/>
        </w:rPr>
        <w:t>across the department</w:t>
      </w:r>
      <w:r w:rsidR="008028FF">
        <w:rPr>
          <w:rFonts w:ascii="Calibri" w:hAnsi="Calibri"/>
          <w:color w:val="000000"/>
          <w:sz w:val="20"/>
          <w:szCs w:val="20"/>
          <w:lang w:val="en-AU"/>
        </w:rPr>
        <w:t xml:space="preserve">. </w:t>
      </w:r>
      <w:r w:rsidR="00310C9D">
        <w:rPr>
          <w:rFonts w:ascii="Calibri" w:hAnsi="Calibri"/>
          <w:color w:val="000000"/>
          <w:sz w:val="20"/>
          <w:szCs w:val="20"/>
          <w:lang w:val="en-AU"/>
        </w:rPr>
        <w:t xml:space="preserve">This </w:t>
      </w:r>
      <w:r w:rsidR="0060108E">
        <w:rPr>
          <w:rFonts w:ascii="Calibri" w:hAnsi="Calibri"/>
          <w:color w:val="000000"/>
          <w:sz w:val="20"/>
          <w:szCs w:val="20"/>
          <w:lang w:val="en-AU"/>
        </w:rPr>
        <w:t xml:space="preserve">position </w:t>
      </w:r>
      <w:r w:rsidR="00310C9D">
        <w:rPr>
          <w:rFonts w:ascii="Calibri" w:hAnsi="Calibri"/>
          <w:color w:val="000000"/>
          <w:sz w:val="20"/>
          <w:szCs w:val="20"/>
          <w:lang w:val="en-AU"/>
        </w:rPr>
        <w:t xml:space="preserve">was strongly articulated </w:t>
      </w:r>
      <w:r w:rsidR="009C39D6">
        <w:rPr>
          <w:rFonts w:ascii="Calibri" w:hAnsi="Calibri"/>
          <w:color w:val="000000"/>
          <w:sz w:val="20"/>
          <w:szCs w:val="20"/>
          <w:lang w:val="en-AU"/>
        </w:rPr>
        <w:t>in interviews with</w:t>
      </w:r>
      <w:r w:rsidR="008028FF">
        <w:rPr>
          <w:rFonts w:ascii="Calibri" w:hAnsi="Calibri"/>
          <w:color w:val="000000"/>
          <w:sz w:val="20"/>
          <w:szCs w:val="20"/>
          <w:lang w:val="en-AU"/>
        </w:rPr>
        <w:t xml:space="preserve"> </w:t>
      </w:r>
      <w:r w:rsidR="00C80B45">
        <w:rPr>
          <w:rFonts w:ascii="Calibri" w:hAnsi="Calibri"/>
          <w:color w:val="000000"/>
          <w:sz w:val="20"/>
          <w:szCs w:val="20"/>
          <w:lang w:val="en-AU"/>
        </w:rPr>
        <w:t>country post staff</w:t>
      </w:r>
      <w:r w:rsidR="00310C9D">
        <w:rPr>
          <w:rFonts w:ascii="Calibri" w:hAnsi="Calibri"/>
          <w:color w:val="000000"/>
          <w:sz w:val="20"/>
          <w:szCs w:val="20"/>
          <w:lang w:val="en-AU"/>
        </w:rPr>
        <w:t xml:space="preserve"> in particu</w:t>
      </w:r>
      <w:r w:rsidR="00310C9D" w:rsidRPr="001C18A7">
        <w:rPr>
          <w:rFonts w:ascii="Calibri" w:hAnsi="Calibri"/>
          <w:color w:val="000000"/>
          <w:sz w:val="20"/>
          <w:szCs w:val="20"/>
          <w:lang w:val="en-AU"/>
        </w:rPr>
        <w:t>lar</w:t>
      </w:r>
      <w:r w:rsidR="00913AEC" w:rsidRPr="001C18A7">
        <w:rPr>
          <w:rFonts w:ascii="Calibri" w:hAnsi="Calibri"/>
          <w:color w:val="000000"/>
          <w:sz w:val="20"/>
          <w:szCs w:val="20"/>
          <w:lang w:val="en-AU"/>
        </w:rPr>
        <w:t>.</w:t>
      </w:r>
      <w:r w:rsidR="008612ED" w:rsidRPr="001C18A7">
        <w:rPr>
          <w:rStyle w:val="FootnoteReference"/>
          <w:rFonts w:ascii="Calibri" w:hAnsi="Calibri"/>
          <w:color w:val="000000"/>
          <w:sz w:val="20"/>
          <w:szCs w:val="20"/>
          <w:lang w:val="en-AU"/>
        </w:rPr>
        <w:footnoteReference w:id="9"/>
      </w:r>
    </w:p>
    <w:p w14:paraId="6A1D77E7" w14:textId="03237767" w:rsidR="001F1E4A" w:rsidRPr="002F3B3E" w:rsidRDefault="001F1E4A" w:rsidP="009349B6">
      <w:pPr>
        <w:pStyle w:val="ListParagraph"/>
        <w:numPr>
          <w:ilvl w:val="0"/>
          <w:numId w:val="1"/>
        </w:numPr>
        <w:spacing w:before="0" w:beforeAutospacing="0" w:after="80" w:afterAutospacing="0"/>
        <w:jc w:val="both"/>
        <w:rPr>
          <w:rFonts w:ascii="Calibri" w:hAnsi="Calibri"/>
          <w:sz w:val="20"/>
          <w:szCs w:val="20"/>
          <w:lang w:val="en-AU"/>
        </w:rPr>
      </w:pPr>
      <w:r w:rsidRPr="002F3B3E">
        <w:rPr>
          <w:rFonts w:ascii="Calibri" w:hAnsi="Calibri"/>
          <w:b/>
          <w:sz w:val="20"/>
          <w:szCs w:val="20"/>
          <w:lang w:val="en-AU"/>
        </w:rPr>
        <w:t>Experiment</w:t>
      </w:r>
      <w:r w:rsidR="0088524F">
        <w:rPr>
          <w:rFonts w:ascii="Calibri" w:hAnsi="Calibri"/>
          <w:b/>
          <w:sz w:val="20"/>
          <w:szCs w:val="20"/>
          <w:lang w:val="en-AU"/>
        </w:rPr>
        <w:t>ation</w:t>
      </w:r>
      <w:r w:rsidRPr="002F3B3E">
        <w:rPr>
          <w:rFonts w:ascii="Calibri" w:hAnsi="Calibri"/>
          <w:b/>
          <w:sz w:val="20"/>
          <w:szCs w:val="20"/>
          <w:lang w:val="en-AU"/>
        </w:rPr>
        <w:t xml:space="preserve"> in new or emerging policy areas for DFAT.</w:t>
      </w:r>
      <w:r w:rsidRPr="002F3B3E">
        <w:rPr>
          <w:rFonts w:ascii="Calibri" w:hAnsi="Calibri"/>
          <w:sz w:val="20"/>
          <w:szCs w:val="20"/>
          <w:lang w:val="en-AU"/>
        </w:rPr>
        <w:t xml:space="preserve"> </w:t>
      </w:r>
      <w:r w:rsidR="00AF3274" w:rsidRPr="002F3B3E">
        <w:rPr>
          <w:rFonts w:ascii="Calibri" w:hAnsi="Calibri"/>
          <w:sz w:val="20"/>
          <w:szCs w:val="20"/>
          <w:lang w:val="en-AU"/>
        </w:rPr>
        <w:t>Th</w:t>
      </w:r>
      <w:r w:rsidR="000C1A51" w:rsidRPr="002F3B3E">
        <w:rPr>
          <w:rFonts w:ascii="Calibri" w:hAnsi="Calibri"/>
          <w:sz w:val="20"/>
          <w:szCs w:val="20"/>
          <w:lang w:val="en-AU"/>
        </w:rPr>
        <w:t>rough its programming the</w:t>
      </w:r>
      <w:r w:rsidR="00AF3274" w:rsidRPr="002F3B3E">
        <w:rPr>
          <w:rFonts w:ascii="Calibri" w:hAnsi="Calibri"/>
          <w:sz w:val="20"/>
          <w:szCs w:val="20"/>
          <w:lang w:val="en-AU"/>
        </w:rPr>
        <w:t xml:space="preserve"> iXc</w:t>
      </w:r>
      <w:r w:rsidR="000C1A51" w:rsidRPr="002F3B3E">
        <w:rPr>
          <w:rFonts w:ascii="Calibri" w:hAnsi="Calibri"/>
          <w:sz w:val="20"/>
          <w:szCs w:val="20"/>
          <w:lang w:val="en-AU"/>
        </w:rPr>
        <w:t xml:space="preserve"> explored themes such as </w:t>
      </w:r>
      <w:r w:rsidRPr="002F3B3E">
        <w:rPr>
          <w:rFonts w:ascii="Calibri" w:hAnsi="Calibri"/>
          <w:sz w:val="20"/>
          <w:szCs w:val="20"/>
          <w:lang w:val="en-AU"/>
        </w:rPr>
        <w:t xml:space="preserve">social impact investing, workforce of the future, education in emergencies, digital technology for good, </w:t>
      </w:r>
      <w:r w:rsidR="000C1A51" w:rsidRPr="002F3B3E">
        <w:rPr>
          <w:rFonts w:ascii="Calibri" w:hAnsi="Calibri"/>
          <w:sz w:val="20"/>
          <w:szCs w:val="20"/>
          <w:lang w:val="en-AU"/>
        </w:rPr>
        <w:t xml:space="preserve">and </w:t>
      </w:r>
      <w:r w:rsidRPr="002F3B3E">
        <w:rPr>
          <w:rFonts w:ascii="Calibri" w:hAnsi="Calibri"/>
          <w:sz w:val="20"/>
          <w:szCs w:val="20"/>
          <w:lang w:val="en-AU"/>
        </w:rPr>
        <w:t>innovation ecosystems</w:t>
      </w:r>
      <w:r w:rsidR="000C1A51" w:rsidRPr="002F3B3E">
        <w:rPr>
          <w:rFonts w:ascii="Calibri" w:hAnsi="Calibri"/>
          <w:sz w:val="20"/>
          <w:szCs w:val="20"/>
          <w:lang w:val="en-AU"/>
        </w:rPr>
        <w:t xml:space="preserve">. While </w:t>
      </w:r>
      <w:r w:rsidR="003F33D7">
        <w:rPr>
          <w:rFonts w:ascii="Calibri" w:hAnsi="Calibri"/>
          <w:sz w:val="20"/>
          <w:szCs w:val="20"/>
          <w:lang w:val="en-AU"/>
        </w:rPr>
        <w:t xml:space="preserve">the </w:t>
      </w:r>
      <w:r w:rsidR="000C1A51" w:rsidRPr="002F3B3E">
        <w:rPr>
          <w:rFonts w:ascii="Calibri" w:hAnsi="Calibri"/>
          <w:sz w:val="20"/>
          <w:szCs w:val="20"/>
          <w:lang w:val="en-AU"/>
        </w:rPr>
        <w:t>p</w:t>
      </w:r>
      <w:r w:rsidRPr="002F3B3E">
        <w:rPr>
          <w:rFonts w:ascii="Calibri" w:hAnsi="Calibri"/>
          <w:sz w:val="20"/>
          <w:szCs w:val="20"/>
          <w:lang w:val="en-AU"/>
        </w:rPr>
        <w:t xml:space="preserve">rograms themselves </w:t>
      </w:r>
      <w:r w:rsidR="00675356">
        <w:rPr>
          <w:rFonts w:ascii="Calibri" w:hAnsi="Calibri"/>
          <w:sz w:val="20"/>
          <w:szCs w:val="20"/>
          <w:lang w:val="en-AU"/>
        </w:rPr>
        <w:t>may not have been deemed</w:t>
      </w:r>
      <w:r w:rsidRPr="002F3B3E">
        <w:rPr>
          <w:rFonts w:ascii="Calibri" w:hAnsi="Calibri"/>
          <w:sz w:val="20"/>
          <w:szCs w:val="20"/>
          <w:lang w:val="en-AU"/>
        </w:rPr>
        <w:t xml:space="preserve"> high-risk</w:t>
      </w:r>
      <w:r w:rsidR="005118B1">
        <w:rPr>
          <w:rFonts w:ascii="Calibri" w:hAnsi="Calibri"/>
          <w:sz w:val="20"/>
          <w:szCs w:val="20"/>
          <w:lang w:val="en-AU"/>
        </w:rPr>
        <w:t xml:space="preserve"> </w:t>
      </w:r>
      <w:r w:rsidR="0090485F">
        <w:rPr>
          <w:rFonts w:ascii="Calibri" w:hAnsi="Calibri"/>
          <w:sz w:val="20"/>
          <w:szCs w:val="20"/>
          <w:lang w:val="en-AU"/>
        </w:rPr>
        <w:t>(</w:t>
      </w:r>
      <w:r w:rsidR="005118B1">
        <w:rPr>
          <w:rFonts w:ascii="Calibri" w:hAnsi="Calibri"/>
          <w:sz w:val="20"/>
          <w:szCs w:val="20"/>
          <w:lang w:val="en-AU"/>
        </w:rPr>
        <w:t>as noted above</w:t>
      </w:r>
      <w:r w:rsidR="0090485F">
        <w:rPr>
          <w:rFonts w:ascii="Calibri" w:hAnsi="Calibri"/>
          <w:sz w:val="20"/>
          <w:szCs w:val="20"/>
          <w:lang w:val="en-AU"/>
        </w:rPr>
        <w:t>),</w:t>
      </w:r>
      <w:r w:rsidRPr="002F3B3E">
        <w:rPr>
          <w:rFonts w:ascii="Calibri" w:hAnsi="Calibri"/>
          <w:sz w:val="20"/>
          <w:szCs w:val="20"/>
          <w:lang w:val="en-AU"/>
        </w:rPr>
        <w:t xml:space="preserve"> </w:t>
      </w:r>
      <w:r w:rsidR="0090485F">
        <w:rPr>
          <w:rFonts w:ascii="Calibri" w:hAnsi="Calibri"/>
          <w:sz w:val="20"/>
          <w:szCs w:val="20"/>
          <w:lang w:val="en-AU"/>
        </w:rPr>
        <w:t>moving into these innovative spaces</w:t>
      </w:r>
      <w:r w:rsidR="00A33F8C">
        <w:rPr>
          <w:rFonts w:ascii="Calibri" w:hAnsi="Calibri"/>
          <w:sz w:val="20"/>
          <w:szCs w:val="20"/>
          <w:lang w:val="en-AU"/>
        </w:rPr>
        <w:t xml:space="preserve"> </w:t>
      </w:r>
      <w:r w:rsidR="0090485F">
        <w:rPr>
          <w:rFonts w:ascii="Calibri" w:hAnsi="Calibri"/>
          <w:sz w:val="20"/>
          <w:szCs w:val="20"/>
          <w:lang w:val="en-AU"/>
        </w:rPr>
        <w:t xml:space="preserve">does demonstrate a healthy appetite for </w:t>
      </w:r>
      <w:r w:rsidR="00627212">
        <w:rPr>
          <w:rFonts w:ascii="Calibri" w:hAnsi="Calibri"/>
          <w:sz w:val="20"/>
          <w:szCs w:val="20"/>
          <w:lang w:val="en-AU"/>
        </w:rPr>
        <w:t>testing new approaches</w:t>
      </w:r>
      <w:r w:rsidR="0090485F">
        <w:rPr>
          <w:rFonts w:ascii="Calibri" w:hAnsi="Calibri"/>
          <w:sz w:val="20"/>
          <w:szCs w:val="20"/>
          <w:lang w:val="en-AU"/>
        </w:rPr>
        <w:t xml:space="preserve"> at the</w:t>
      </w:r>
      <w:r w:rsidRPr="002F3B3E">
        <w:rPr>
          <w:rFonts w:ascii="Calibri" w:hAnsi="Calibri"/>
          <w:sz w:val="20"/>
          <w:szCs w:val="20"/>
          <w:lang w:val="en-AU"/>
        </w:rPr>
        <w:t xml:space="preserve"> </w:t>
      </w:r>
      <w:r w:rsidR="00DF4969" w:rsidRPr="002F3B3E">
        <w:rPr>
          <w:rFonts w:ascii="Calibri" w:hAnsi="Calibri"/>
          <w:sz w:val="20"/>
          <w:szCs w:val="20"/>
          <w:lang w:val="en-AU"/>
        </w:rPr>
        <w:t>organi</w:t>
      </w:r>
      <w:r w:rsidR="0060108E">
        <w:rPr>
          <w:rFonts w:ascii="Calibri" w:hAnsi="Calibri"/>
          <w:sz w:val="20"/>
          <w:szCs w:val="20"/>
          <w:lang w:val="en-AU"/>
        </w:rPr>
        <w:t>z</w:t>
      </w:r>
      <w:r w:rsidR="00DF4969" w:rsidRPr="002F3B3E">
        <w:rPr>
          <w:rFonts w:ascii="Calibri" w:hAnsi="Calibri"/>
          <w:sz w:val="20"/>
          <w:szCs w:val="20"/>
          <w:lang w:val="en-AU"/>
        </w:rPr>
        <w:t xml:space="preserve">ational </w:t>
      </w:r>
      <w:r w:rsidR="0090485F">
        <w:rPr>
          <w:rFonts w:ascii="Calibri" w:hAnsi="Calibri"/>
          <w:sz w:val="20"/>
          <w:szCs w:val="20"/>
          <w:lang w:val="en-AU"/>
        </w:rPr>
        <w:t>level</w:t>
      </w:r>
      <w:r w:rsidR="00B65395">
        <w:rPr>
          <w:rFonts w:ascii="Calibri" w:hAnsi="Calibri"/>
          <w:sz w:val="20"/>
          <w:szCs w:val="20"/>
          <w:lang w:val="en-AU"/>
        </w:rPr>
        <w:t xml:space="preserve">. </w:t>
      </w:r>
    </w:p>
    <w:p w14:paraId="27A749B9" w14:textId="0D528C76" w:rsidR="001F1E4A" w:rsidRPr="002F3B3E" w:rsidRDefault="0088524F" w:rsidP="009349B6">
      <w:pPr>
        <w:pStyle w:val="ListParagraph"/>
        <w:numPr>
          <w:ilvl w:val="0"/>
          <w:numId w:val="1"/>
        </w:numPr>
        <w:spacing w:before="0" w:beforeAutospacing="0" w:after="80" w:afterAutospacing="0"/>
        <w:jc w:val="both"/>
        <w:rPr>
          <w:rFonts w:ascii="Calibri" w:hAnsi="Calibri"/>
          <w:sz w:val="20"/>
          <w:szCs w:val="20"/>
          <w:lang w:val="en-AU"/>
        </w:rPr>
      </w:pPr>
      <w:r>
        <w:rPr>
          <w:rFonts w:ascii="Calibri" w:hAnsi="Calibri"/>
          <w:b/>
          <w:color w:val="000000"/>
          <w:sz w:val="20"/>
          <w:szCs w:val="20"/>
          <w:lang w:val="en-AU"/>
        </w:rPr>
        <w:t xml:space="preserve">A desire to address and support gender-sensitive programming. </w:t>
      </w:r>
      <w:r>
        <w:rPr>
          <w:rFonts w:ascii="Calibri" w:hAnsi="Calibri"/>
          <w:color w:val="000000"/>
          <w:sz w:val="20"/>
          <w:szCs w:val="20"/>
          <w:lang w:val="en-AU"/>
        </w:rPr>
        <w:t xml:space="preserve">While the iXc </w:t>
      </w:r>
      <w:r w:rsidR="00193A27">
        <w:rPr>
          <w:rFonts w:ascii="Calibri" w:hAnsi="Calibri"/>
          <w:color w:val="000000"/>
          <w:sz w:val="20"/>
          <w:szCs w:val="20"/>
          <w:lang w:val="en-AU"/>
        </w:rPr>
        <w:t xml:space="preserve">integrated gender into its portfolio to varying degrees (for example, including gender balance as a selection criterion in the </w:t>
      </w:r>
      <w:hyperlink r:id="rId22" w:history="1">
        <w:r w:rsidR="00193A27" w:rsidRPr="00393085">
          <w:rPr>
            <w:rStyle w:val="Hyperlink"/>
            <w:rFonts w:ascii="Calibri" w:hAnsi="Calibri"/>
            <w:sz w:val="20"/>
            <w:szCs w:val="20"/>
            <w:lang w:val="en-AU"/>
          </w:rPr>
          <w:t>LAUNCH Food</w:t>
        </w:r>
      </w:hyperlink>
      <w:r w:rsidR="00193A27">
        <w:rPr>
          <w:rFonts w:ascii="Calibri" w:hAnsi="Calibri"/>
          <w:color w:val="000000"/>
          <w:sz w:val="20"/>
          <w:szCs w:val="20"/>
          <w:lang w:val="en-AU"/>
        </w:rPr>
        <w:t xml:space="preserve"> </w:t>
      </w:r>
      <w:r w:rsidR="0060108E">
        <w:rPr>
          <w:rFonts w:ascii="Calibri" w:hAnsi="Calibri"/>
          <w:color w:val="000000"/>
          <w:sz w:val="20"/>
          <w:szCs w:val="20"/>
          <w:lang w:val="en-AU"/>
        </w:rPr>
        <w:t>c</w:t>
      </w:r>
      <w:r w:rsidR="00193A27">
        <w:rPr>
          <w:rFonts w:ascii="Calibri" w:hAnsi="Calibri"/>
          <w:color w:val="000000"/>
          <w:sz w:val="20"/>
          <w:szCs w:val="20"/>
          <w:lang w:val="en-AU"/>
        </w:rPr>
        <w:t>hallenge) gender</w:t>
      </w:r>
      <w:r w:rsidR="00E31137">
        <w:rPr>
          <w:rFonts w:ascii="Calibri" w:hAnsi="Calibri"/>
          <w:color w:val="000000"/>
          <w:sz w:val="20"/>
          <w:szCs w:val="20"/>
          <w:lang w:val="en-AU"/>
        </w:rPr>
        <w:t xml:space="preserve"> considerations</w:t>
      </w:r>
      <w:r w:rsidR="00193A27">
        <w:rPr>
          <w:rFonts w:ascii="Calibri" w:hAnsi="Calibri"/>
          <w:color w:val="000000"/>
          <w:sz w:val="20"/>
          <w:szCs w:val="20"/>
          <w:lang w:val="en-AU"/>
        </w:rPr>
        <w:t xml:space="preserve"> w</w:t>
      </w:r>
      <w:r w:rsidR="00E31137">
        <w:rPr>
          <w:rFonts w:ascii="Calibri" w:hAnsi="Calibri"/>
          <w:color w:val="000000"/>
          <w:sz w:val="20"/>
          <w:szCs w:val="20"/>
          <w:lang w:val="en-AU"/>
        </w:rPr>
        <w:t>ere</w:t>
      </w:r>
      <w:r w:rsidR="00193A27">
        <w:rPr>
          <w:rFonts w:ascii="Calibri" w:hAnsi="Calibri"/>
          <w:color w:val="000000"/>
          <w:sz w:val="20"/>
          <w:szCs w:val="20"/>
          <w:lang w:val="en-AU"/>
        </w:rPr>
        <w:t xml:space="preserve"> not systematically integrated into </w:t>
      </w:r>
      <w:r w:rsidR="009F2FF3">
        <w:rPr>
          <w:rFonts w:ascii="Calibri" w:hAnsi="Calibri"/>
          <w:color w:val="000000"/>
          <w:sz w:val="20"/>
          <w:szCs w:val="20"/>
          <w:lang w:val="en-AU"/>
        </w:rPr>
        <w:t>program</w:t>
      </w:r>
      <w:r w:rsidR="00193A27">
        <w:rPr>
          <w:rFonts w:ascii="Calibri" w:hAnsi="Calibri"/>
          <w:color w:val="000000"/>
          <w:sz w:val="20"/>
          <w:szCs w:val="20"/>
          <w:lang w:val="en-AU"/>
        </w:rPr>
        <w:t xml:space="preserve"> design, implementation and evaluation processes. </w:t>
      </w:r>
    </w:p>
    <w:p w14:paraId="6EAD7124" w14:textId="0AC7211E" w:rsidR="001F1E4A" w:rsidRPr="002F3B3E" w:rsidRDefault="00A73A3B" w:rsidP="009349B6">
      <w:pPr>
        <w:pStyle w:val="ListParagraph"/>
        <w:numPr>
          <w:ilvl w:val="0"/>
          <w:numId w:val="1"/>
        </w:numPr>
        <w:spacing w:before="0" w:beforeAutospacing="0" w:after="80" w:afterAutospacing="0"/>
        <w:jc w:val="both"/>
        <w:rPr>
          <w:sz w:val="20"/>
          <w:szCs w:val="20"/>
          <w:lang w:val="en-AU"/>
        </w:rPr>
      </w:pPr>
      <w:r w:rsidRPr="00A73A3B">
        <w:rPr>
          <w:rFonts w:ascii="Calibri" w:hAnsi="Calibri"/>
          <w:b/>
          <w:color w:val="000000"/>
          <w:sz w:val="20"/>
          <w:szCs w:val="20"/>
          <w:lang w:val="en-AU"/>
        </w:rPr>
        <w:t>An interest in technology as an enabler of innovation and development outcomes.</w:t>
      </w:r>
      <w:r>
        <w:rPr>
          <w:rFonts w:ascii="Calibri" w:hAnsi="Calibri"/>
          <w:b/>
          <w:color w:val="000000"/>
          <w:sz w:val="20"/>
          <w:szCs w:val="20"/>
          <w:lang w:val="en-AU"/>
        </w:rPr>
        <w:t xml:space="preserve"> </w:t>
      </w:r>
      <w:r>
        <w:rPr>
          <w:rFonts w:ascii="Calibri" w:hAnsi="Calibri"/>
          <w:color w:val="000000"/>
          <w:sz w:val="20"/>
          <w:szCs w:val="20"/>
          <w:lang w:val="en-AU"/>
        </w:rPr>
        <w:t xml:space="preserve">Many of the </w:t>
      </w:r>
      <w:r w:rsidR="009F2FF3">
        <w:rPr>
          <w:rFonts w:ascii="Calibri" w:hAnsi="Calibri"/>
          <w:color w:val="000000"/>
          <w:sz w:val="20"/>
          <w:szCs w:val="20"/>
          <w:lang w:val="en-AU"/>
        </w:rPr>
        <w:t>program</w:t>
      </w:r>
      <w:r w:rsidR="00163116">
        <w:rPr>
          <w:rFonts w:ascii="Calibri" w:hAnsi="Calibri"/>
          <w:color w:val="000000"/>
          <w:sz w:val="20"/>
          <w:szCs w:val="20"/>
          <w:lang w:val="en-AU"/>
        </w:rPr>
        <w:t>s</w:t>
      </w:r>
      <w:r>
        <w:rPr>
          <w:rFonts w:ascii="Calibri" w:hAnsi="Calibri"/>
          <w:color w:val="000000"/>
          <w:sz w:val="20"/>
          <w:szCs w:val="20"/>
          <w:lang w:val="en-AU"/>
        </w:rPr>
        <w:t xml:space="preserve"> and partnerships that the iXc </w:t>
      </w:r>
      <w:r w:rsidR="00163116">
        <w:rPr>
          <w:rFonts w:ascii="Calibri" w:hAnsi="Calibri"/>
          <w:color w:val="000000"/>
          <w:sz w:val="20"/>
          <w:szCs w:val="20"/>
          <w:lang w:val="en-AU"/>
        </w:rPr>
        <w:t>supported had a technological component either in the solutions that were surfaced or the organizations that were engaged</w:t>
      </w:r>
      <w:r w:rsidR="0025388F">
        <w:rPr>
          <w:rFonts w:ascii="Calibri" w:hAnsi="Calibri"/>
          <w:color w:val="000000"/>
          <w:sz w:val="20"/>
          <w:szCs w:val="20"/>
          <w:lang w:val="en-AU"/>
        </w:rPr>
        <w:t xml:space="preserve">, for example </w:t>
      </w:r>
      <w:r w:rsidR="002C2E4C">
        <w:rPr>
          <w:rFonts w:ascii="Calibri" w:hAnsi="Calibri"/>
          <w:color w:val="000000"/>
          <w:sz w:val="20"/>
          <w:szCs w:val="20"/>
          <w:lang w:val="en-AU"/>
        </w:rPr>
        <w:t xml:space="preserve">the </w:t>
      </w:r>
      <w:hyperlink r:id="rId23" w:history="1">
        <w:r w:rsidR="0025388F" w:rsidRPr="002C2E4C">
          <w:rPr>
            <w:rStyle w:val="Hyperlink"/>
            <w:rFonts w:ascii="Calibri" w:hAnsi="Calibri"/>
            <w:sz w:val="20"/>
            <w:szCs w:val="20"/>
            <w:lang w:val="en-AU"/>
          </w:rPr>
          <w:t>LAUNCH Legends</w:t>
        </w:r>
      </w:hyperlink>
      <w:r w:rsidR="0025388F">
        <w:rPr>
          <w:rFonts w:ascii="Calibri" w:hAnsi="Calibri"/>
          <w:color w:val="000000"/>
          <w:sz w:val="20"/>
          <w:szCs w:val="20"/>
          <w:lang w:val="en-AU"/>
        </w:rPr>
        <w:t xml:space="preserve"> program piloted interactive story-telling techniques and emerging technology, including a virtual reality experience and an interactive mobile </w:t>
      </w:r>
      <w:r w:rsidR="0025388F" w:rsidRPr="00180C98">
        <w:rPr>
          <w:rFonts w:ascii="Calibri" w:hAnsi="Calibri"/>
          <w:color w:val="000000"/>
          <w:sz w:val="20"/>
          <w:szCs w:val="20"/>
          <w:lang w:val="en-AU"/>
        </w:rPr>
        <w:t>game to combat non-communicable diseases</w:t>
      </w:r>
      <w:r w:rsidR="00163116" w:rsidRPr="00180C98">
        <w:rPr>
          <w:rFonts w:ascii="Calibri" w:hAnsi="Calibri"/>
          <w:color w:val="000000"/>
          <w:sz w:val="20"/>
          <w:szCs w:val="20"/>
          <w:lang w:val="en-AU"/>
        </w:rPr>
        <w:t xml:space="preserve">. </w:t>
      </w:r>
      <w:r w:rsidR="0071439A" w:rsidRPr="00180C98">
        <w:rPr>
          <w:rFonts w:ascii="Calibri" w:hAnsi="Calibri"/>
          <w:color w:val="000000"/>
          <w:sz w:val="20"/>
          <w:szCs w:val="20"/>
          <w:lang w:val="en-AU"/>
        </w:rPr>
        <w:t>O</w:t>
      </w:r>
      <w:r w:rsidR="0071439A">
        <w:rPr>
          <w:rFonts w:ascii="Calibri" w:hAnsi="Calibri"/>
          <w:color w:val="000000"/>
          <w:sz w:val="20"/>
          <w:szCs w:val="20"/>
          <w:lang w:val="en-AU"/>
        </w:rPr>
        <w:t xml:space="preserve">verall, the various </w:t>
      </w:r>
      <w:r w:rsidR="009F2FF3">
        <w:rPr>
          <w:rFonts w:ascii="Calibri" w:hAnsi="Calibri"/>
          <w:color w:val="000000"/>
          <w:sz w:val="20"/>
          <w:szCs w:val="20"/>
          <w:lang w:val="en-AU"/>
        </w:rPr>
        <w:t>program</w:t>
      </w:r>
      <w:r w:rsidR="0025388F">
        <w:rPr>
          <w:rFonts w:ascii="Calibri" w:hAnsi="Calibri"/>
          <w:color w:val="000000"/>
          <w:sz w:val="20"/>
          <w:szCs w:val="20"/>
          <w:lang w:val="en-AU"/>
        </w:rPr>
        <w:t>s</w:t>
      </w:r>
      <w:r w:rsidR="00163116">
        <w:rPr>
          <w:rFonts w:ascii="Calibri" w:hAnsi="Calibri"/>
          <w:color w:val="000000"/>
          <w:sz w:val="20"/>
          <w:szCs w:val="20"/>
          <w:lang w:val="en-AU"/>
        </w:rPr>
        <w:t xml:space="preserve"> </w:t>
      </w:r>
      <w:r w:rsidR="0071439A">
        <w:rPr>
          <w:rFonts w:ascii="Calibri" w:hAnsi="Calibri"/>
          <w:color w:val="000000"/>
          <w:sz w:val="20"/>
          <w:szCs w:val="20"/>
          <w:lang w:val="en-AU"/>
        </w:rPr>
        <w:t xml:space="preserve">using technology generated </w:t>
      </w:r>
      <w:r w:rsidR="001E78C6">
        <w:rPr>
          <w:rFonts w:ascii="Calibri" w:hAnsi="Calibri"/>
          <w:color w:val="000000"/>
          <w:sz w:val="20"/>
          <w:szCs w:val="20"/>
          <w:lang w:val="en-AU"/>
        </w:rPr>
        <w:t>a large amount of learning for the iXc and DFAT more broadly around the role and contribution of technologies to further development goals</w:t>
      </w:r>
      <w:r w:rsidR="0025388F">
        <w:rPr>
          <w:rFonts w:ascii="Calibri" w:hAnsi="Calibri"/>
          <w:color w:val="000000"/>
          <w:sz w:val="20"/>
          <w:szCs w:val="20"/>
          <w:lang w:val="en-AU"/>
        </w:rPr>
        <w:t>, summari</w:t>
      </w:r>
      <w:r w:rsidR="009E7947">
        <w:rPr>
          <w:rFonts w:ascii="Calibri" w:hAnsi="Calibri"/>
          <w:color w:val="000000"/>
          <w:sz w:val="20"/>
          <w:szCs w:val="20"/>
          <w:lang w:val="en-AU"/>
        </w:rPr>
        <w:t>z</w:t>
      </w:r>
      <w:r w:rsidR="0025388F">
        <w:rPr>
          <w:rFonts w:ascii="Calibri" w:hAnsi="Calibri"/>
          <w:color w:val="000000"/>
          <w:sz w:val="20"/>
          <w:szCs w:val="20"/>
          <w:lang w:val="en-AU"/>
        </w:rPr>
        <w:t xml:space="preserve">ed in a report </w:t>
      </w:r>
      <w:r w:rsidR="00564D74">
        <w:rPr>
          <w:rFonts w:ascii="Calibri" w:hAnsi="Calibri"/>
          <w:color w:val="000000"/>
          <w:sz w:val="20"/>
          <w:szCs w:val="20"/>
          <w:lang w:val="en-AU"/>
        </w:rPr>
        <w:t>‘</w:t>
      </w:r>
      <w:r w:rsidR="00010F5A" w:rsidRPr="00564D74">
        <w:rPr>
          <w:rFonts w:ascii="Calibri" w:hAnsi="Calibri"/>
          <w:color w:val="000000"/>
          <w:sz w:val="20"/>
          <w:szCs w:val="20"/>
          <w:lang w:val="en-AU"/>
        </w:rPr>
        <w:t>Technology for Development, Indo-Pacific state of play</w:t>
      </w:r>
      <w:r w:rsidR="00564D74">
        <w:rPr>
          <w:rFonts w:ascii="Calibri" w:hAnsi="Calibri"/>
          <w:color w:val="000000"/>
          <w:sz w:val="20"/>
          <w:szCs w:val="20"/>
          <w:lang w:val="en-AU"/>
        </w:rPr>
        <w:t>’</w:t>
      </w:r>
      <w:r w:rsidR="001E78C6">
        <w:rPr>
          <w:rFonts w:ascii="Calibri" w:hAnsi="Calibri"/>
          <w:color w:val="000000"/>
          <w:sz w:val="20"/>
          <w:szCs w:val="20"/>
          <w:lang w:val="en-AU"/>
        </w:rPr>
        <w:t>.</w:t>
      </w:r>
      <w:r w:rsidR="00564D74">
        <w:rPr>
          <w:rStyle w:val="FootnoteReference"/>
          <w:rFonts w:ascii="Calibri" w:hAnsi="Calibri"/>
          <w:color w:val="000000"/>
          <w:sz w:val="20"/>
          <w:szCs w:val="20"/>
          <w:lang w:val="en-AU"/>
        </w:rPr>
        <w:footnoteReference w:id="10"/>
      </w:r>
      <w:r w:rsidR="001E78C6">
        <w:rPr>
          <w:rFonts w:ascii="Calibri" w:hAnsi="Calibri"/>
          <w:color w:val="000000"/>
          <w:sz w:val="20"/>
          <w:szCs w:val="20"/>
          <w:lang w:val="en-AU"/>
        </w:rPr>
        <w:t xml:space="preserve"> However, there is a significant opportunity to consolidate this learning and inform a more intentional investment strategy for DFAT </w:t>
      </w:r>
      <w:r w:rsidR="0003581A">
        <w:rPr>
          <w:rFonts w:ascii="Calibri" w:hAnsi="Calibri"/>
          <w:color w:val="000000"/>
          <w:sz w:val="20"/>
          <w:szCs w:val="20"/>
          <w:lang w:val="en-AU"/>
        </w:rPr>
        <w:t>to</w:t>
      </w:r>
      <w:r w:rsidR="001E78C6">
        <w:rPr>
          <w:rFonts w:ascii="Calibri" w:hAnsi="Calibri"/>
          <w:color w:val="000000"/>
          <w:sz w:val="20"/>
          <w:szCs w:val="20"/>
          <w:lang w:val="en-AU"/>
        </w:rPr>
        <w:t xml:space="preserve"> leverage technology in development.</w:t>
      </w:r>
    </w:p>
    <w:p w14:paraId="19B9B1E6" w14:textId="77777777" w:rsidR="00757D6F" w:rsidRDefault="001E2B1A" w:rsidP="001F2786">
      <w:pPr>
        <w:spacing w:after="80"/>
        <w:jc w:val="both"/>
        <w:rPr>
          <w:rFonts w:ascii="Calibri" w:hAnsi="Calibri"/>
          <w:color w:val="000000"/>
          <w:sz w:val="20"/>
          <w:szCs w:val="20"/>
          <w:lang w:val="en-AU"/>
        </w:rPr>
      </w:pPr>
      <w:r w:rsidRPr="001E2B1A">
        <w:rPr>
          <w:b/>
          <w:color w:val="00A6B6" w:themeColor="accent1"/>
          <w:sz w:val="20"/>
          <w:szCs w:val="20"/>
        </w:rPr>
        <w:t>Recommendations:</w:t>
      </w:r>
      <w:r w:rsidRPr="001E2B1A">
        <w:rPr>
          <w:color w:val="00A6B6" w:themeColor="accent1"/>
          <w:sz w:val="20"/>
          <w:szCs w:val="20"/>
        </w:rPr>
        <w:t xml:space="preserve"> </w:t>
      </w:r>
      <w:r w:rsidR="00A44859">
        <w:rPr>
          <w:rFonts w:ascii="Calibri" w:hAnsi="Calibri"/>
          <w:color w:val="000000"/>
          <w:sz w:val="20"/>
          <w:szCs w:val="20"/>
          <w:lang w:val="en-AU"/>
        </w:rPr>
        <w:t>Looking ahead</w:t>
      </w:r>
      <w:r w:rsidR="00E655E8">
        <w:rPr>
          <w:rFonts w:ascii="Calibri" w:hAnsi="Calibri"/>
          <w:color w:val="000000"/>
          <w:sz w:val="20"/>
          <w:szCs w:val="20"/>
          <w:lang w:val="en-AU"/>
        </w:rPr>
        <w:t xml:space="preserve">, the iXc should </w:t>
      </w:r>
      <w:r w:rsidR="00A44859">
        <w:rPr>
          <w:rFonts w:ascii="Calibri" w:hAnsi="Calibri"/>
          <w:color w:val="000000"/>
          <w:sz w:val="20"/>
          <w:szCs w:val="20"/>
          <w:lang w:val="en-AU"/>
        </w:rPr>
        <w:t xml:space="preserve">aim </w:t>
      </w:r>
      <w:r w:rsidR="00584E24">
        <w:rPr>
          <w:rFonts w:ascii="Calibri" w:hAnsi="Calibri"/>
          <w:color w:val="000000"/>
          <w:sz w:val="20"/>
          <w:szCs w:val="20"/>
          <w:lang w:val="en-AU"/>
        </w:rPr>
        <w:t>to</w:t>
      </w:r>
      <w:r w:rsidR="00757D6F">
        <w:rPr>
          <w:rFonts w:ascii="Calibri" w:hAnsi="Calibri"/>
          <w:color w:val="000000"/>
          <w:sz w:val="20"/>
          <w:szCs w:val="20"/>
          <w:lang w:val="en-AU"/>
        </w:rPr>
        <w:t>:</w:t>
      </w:r>
    </w:p>
    <w:p w14:paraId="4D0BE88B" w14:textId="1496BB7E" w:rsidR="00676A39" w:rsidRDefault="00757D6F" w:rsidP="009349B6">
      <w:pPr>
        <w:pStyle w:val="ListParagraph"/>
        <w:numPr>
          <w:ilvl w:val="0"/>
          <w:numId w:val="14"/>
        </w:numPr>
        <w:spacing w:before="0" w:beforeAutospacing="0" w:after="80" w:afterAutospacing="0"/>
        <w:jc w:val="both"/>
        <w:rPr>
          <w:rFonts w:ascii="Calibri" w:hAnsi="Calibri"/>
          <w:color w:val="000000"/>
          <w:sz w:val="20"/>
          <w:szCs w:val="20"/>
          <w:lang w:val="en-AU"/>
        </w:rPr>
      </w:pPr>
      <w:r w:rsidRPr="00757D6F">
        <w:rPr>
          <w:rFonts w:ascii="Calibri" w:hAnsi="Calibri"/>
          <w:b/>
          <w:color w:val="000000"/>
          <w:sz w:val="20"/>
          <w:szCs w:val="20"/>
          <w:lang w:val="en-AU"/>
        </w:rPr>
        <w:t>S</w:t>
      </w:r>
      <w:r w:rsidR="008D60F4" w:rsidRPr="008D60F4">
        <w:rPr>
          <w:rFonts w:ascii="Calibri" w:hAnsi="Calibri"/>
          <w:b/>
          <w:color w:val="000000"/>
          <w:sz w:val="20"/>
          <w:szCs w:val="20"/>
          <w:lang w:val="en-AU"/>
        </w:rPr>
        <w:t>harpen its investment criteria and</w:t>
      </w:r>
      <w:r w:rsidR="008D60F4">
        <w:rPr>
          <w:rFonts w:ascii="Calibri" w:hAnsi="Calibri"/>
          <w:color w:val="000000"/>
          <w:sz w:val="20"/>
          <w:szCs w:val="20"/>
          <w:lang w:val="en-AU"/>
        </w:rPr>
        <w:t xml:space="preserve"> </w:t>
      </w:r>
      <w:r w:rsidR="00CF3DA0" w:rsidRPr="00B521E7">
        <w:rPr>
          <w:rFonts w:ascii="Calibri" w:hAnsi="Calibri"/>
          <w:b/>
          <w:color w:val="000000"/>
          <w:sz w:val="20"/>
          <w:szCs w:val="20"/>
          <w:lang w:val="en-AU"/>
        </w:rPr>
        <w:t>build</w:t>
      </w:r>
      <w:r w:rsidR="00584E24" w:rsidRPr="00B521E7">
        <w:rPr>
          <w:rFonts w:ascii="Calibri" w:hAnsi="Calibri"/>
          <w:b/>
          <w:color w:val="000000"/>
          <w:sz w:val="20"/>
          <w:szCs w:val="20"/>
          <w:lang w:val="en-AU"/>
        </w:rPr>
        <w:t xml:space="preserve"> a more consolidated</w:t>
      </w:r>
      <w:r w:rsidR="00584E24" w:rsidRPr="00CF3DA0">
        <w:rPr>
          <w:rFonts w:ascii="Calibri" w:hAnsi="Calibri"/>
          <w:b/>
          <w:color w:val="000000"/>
          <w:sz w:val="20"/>
          <w:szCs w:val="20"/>
          <w:lang w:val="en-AU"/>
        </w:rPr>
        <w:t xml:space="preserve"> portfolio</w:t>
      </w:r>
      <w:r w:rsidR="00584E24">
        <w:rPr>
          <w:rFonts w:ascii="Calibri" w:hAnsi="Calibri"/>
          <w:color w:val="000000"/>
          <w:sz w:val="20"/>
          <w:szCs w:val="20"/>
          <w:lang w:val="en-AU"/>
        </w:rPr>
        <w:t xml:space="preserve"> in which the programs and projects </w:t>
      </w:r>
      <w:r w:rsidR="00B36870">
        <w:rPr>
          <w:rFonts w:ascii="Calibri" w:hAnsi="Calibri"/>
          <w:color w:val="000000"/>
          <w:sz w:val="20"/>
          <w:szCs w:val="20"/>
          <w:lang w:val="en-AU"/>
        </w:rPr>
        <w:t>supported</w:t>
      </w:r>
      <w:r w:rsidR="00584E24">
        <w:rPr>
          <w:rFonts w:ascii="Calibri" w:hAnsi="Calibri"/>
          <w:color w:val="000000"/>
          <w:sz w:val="20"/>
          <w:szCs w:val="20"/>
          <w:lang w:val="en-AU"/>
        </w:rPr>
        <w:t xml:space="preserve"> </w:t>
      </w:r>
      <w:r w:rsidR="00CF3DA0">
        <w:rPr>
          <w:rFonts w:ascii="Calibri" w:hAnsi="Calibri"/>
          <w:color w:val="000000"/>
          <w:sz w:val="20"/>
          <w:szCs w:val="20"/>
          <w:lang w:val="en-AU"/>
        </w:rPr>
        <w:t xml:space="preserve">have </w:t>
      </w:r>
      <w:r w:rsidR="00B36870">
        <w:rPr>
          <w:rFonts w:ascii="Calibri" w:hAnsi="Calibri"/>
          <w:color w:val="000000"/>
          <w:sz w:val="20"/>
          <w:szCs w:val="20"/>
          <w:lang w:val="en-AU"/>
        </w:rPr>
        <w:t>greater</w:t>
      </w:r>
      <w:r w:rsidR="00CF3DA0">
        <w:rPr>
          <w:rFonts w:ascii="Calibri" w:hAnsi="Calibri"/>
          <w:color w:val="000000"/>
          <w:sz w:val="20"/>
          <w:szCs w:val="20"/>
          <w:lang w:val="en-AU"/>
        </w:rPr>
        <w:t xml:space="preserve"> potential </w:t>
      </w:r>
      <w:r w:rsidR="00B36870">
        <w:rPr>
          <w:rFonts w:ascii="Calibri" w:hAnsi="Calibri"/>
          <w:color w:val="000000"/>
          <w:sz w:val="20"/>
          <w:szCs w:val="20"/>
          <w:lang w:val="en-AU"/>
        </w:rPr>
        <w:t>for collaboration, learning and ultimately</w:t>
      </w:r>
      <w:r w:rsidR="00CF3DA0">
        <w:rPr>
          <w:rFonts w:ascii="Calibri" w:hAnsi="Calibri"/>
          <w:color w:val="000000"/>
          <w:sz w:val="20"/>
          <w:szCs w:val="20"/>
          <w:lang w:val="en-AU"/>
        </w:rPr>
        <w:t xml:space="preserve"> collective impact</w:t>
      </w:r>
      <w:r w:rsidR="00580561">
        <w:rPr>
          <w:rFonts w:ascii="Calibri" w:hAnsi="Calibri"/>
          <w:color w:val="000000"/>
          <w:sz w:val="20"/>
          <w:szCs w:val="20"/>
          <w:lang w:val="en-AU"/>
        </w:rPr>
        <w:t>;</w:t>
      </w:r>
    </w:p>
    <w:p w14:paraId="5ED99D54" w14:textId="199E4378" w:rsidR="00757D6F" w:rsidRDefault="00676A39" w:rsidP="009349B6">
      <w:pPr>
        <w:pStyle w:val="ListParagraph"/>
        <w:numPr>
          <w:ilvl w:val="0"/>
          <w:numId w:val="14"/>
        </w:numPr>
        <w:spacing w:before="0" w:beforeAutospacing="0" w:after="80" w:afterAutospacing="0"/>
        <w:jc w:val="both"/>
        <w:rPr>
          <w:rFonts w:ascii="Calibri" w:hAnsi="Calibri"/>
          <w:color w:val="000000"/>
          <w:sz w:val="20"/>
          <w:szCs w:val="20"/>
          <w:lang w:val="en-AU"/>
        </w:rPr>
      </w:pPr>
      <w:r>
        <w:rPr>
          <w:rFonts w:ascii="Calibri" w:hAnsi="Calibri"/>
          <w:b/>
          <w:color w:val="000000"/>
          <w:sz w:val="20"/>
          <w:szCs w:val="20"/>
          <w:lang w:val="en-AU"/>
        </w:rPr>
        <w:t>A</w:t>
      </w:r>
      <w:r w:rsidR="00584E24" w:rsidRPr="00676A39">
        <w:rPr>
          <w:rFonts w:ascii="Calibri" w:hAnsi="Calibri"/>
          <w:b/>
          <w:color w:val="000000"/>
          <w:sz w:val="20"/>
          <w:szCs w:val="20"/>
          <w:lang w:val="en-AU"/>
        </w:rPr>
        <w:t>dopt</w:t>
      </w:r>
      <w:r w:rsidR="00757D6F">
        <w:rPr>
          <w:rFonts w:ascii="Calibri" w:hAnsi="Calibri"/>
          <w:b/>
          <w:color w:val="000000"/>
          <w:sz w:val="20"/>
          <w:szCs w:val="20"/>
          <w:lang w:val="en-AU"/>
        </w:rPr>
        <w:t xml:space="preserve"> </w:t>
      </w:r>
      <w:r w:rsidR="00E655E8" w:rsidRPr="00676A39">
        <w:rPr>
          <w:rFonts w:ascii="Calibri" w:hAnsi="Calibri"/>
          <w:b/>
          <w:color w:val="000000"/>
          <w:sz w:val="20"/>
          <w:szCs w:val="20"/>
          <w:lang w:val="en-AU"/>
        </w:rPr>
        <w:t xml:space="preserve">a </w:t>
      </w:r>
      <w:r w:rsidR="00913AEC" w:rsidRPr="00676A39">
        <w:rPr>
          <w:rFonts w:ascii="Calibri" w:hAnsi="Calibri"/>
          <w:b/>
          <w:color w:val="000000"/>
          <w:sz w:val="20"/>
          <w:szCs w:val="20"/>
          <w:lang w:val="en-AU"/>
        </w:rPr>
        <w:t>more holistic</w:t>
      </w:r>
      <w:r w:rsidR="00913AEC" w:rsidRPr="00676A39">
        <w:rPr>
          <w:rFonts w:ascii="Calibri" w:hAnsi="Calibri"/>
          <w:color w:val="000000"/>
          <w:sz w:val="20"/>
          <w:szCs w:val="20"/>
          <w:lang w:val="en-AU"/>
        </w:rPr>
        <w:t xml:space="preserve"> </w:t>
      </w:r>
      <w:r w:rsidR="00913AEC" w:rsidRPr="00676A39">
        <w:rPr>
          <w:rFonts w:ascii="Calibri" w:hAnsi="Calibri"/>
          <w:b/>
          <w:color w:val="000000"/>
          <w:sz w:val="20"/>
          <w:szCs w:val="20"/>
          <w:lang w:val="en-AU"/>
        </w:rPr>
        <w:t>ecosystem model</w:t>
      </w:r>
      <w:r w:rsidR="00913AEC" w:rsidRPr="00676A39">
        <w:rPr>
          <w:rFonts w:ascii="Calibri" w:hAnsi="Calibri"/>
          <w:color w:val="000000"/>
          <w:sz w:val="20"/>
          <w:szCs w:val="20"/>
          <w:lang w:val="en-AU"/>
        </w:rPr>
        <w:t xml:space="preserve"> for supporting change agents in challenging contexts, </w:t>
      </w:r>
      <w:r>
        <w:rPr>
          <w:rFonts w:ascii="Calibri" w:hAnsi="Calibri"/>
          <w:color w:val="000000"/>
          <w:sz w:val="20"/>
          <w:szCs w:val="20"/>
          <w:lang w:val="en-AU"/>
        </w:rPr>
        <w:t>driving market- and policy-level change in addition to</w:t>
      </w:r>
      <w:r w:rsidR="00913AEC" w:rsidRPr="00676A39">
        <w:rPr>
          <w:rFonts w:ascii="Calibri" w:hAnsi="Calibri"/>
          <w:color w:val="000000"/>
          <w:sz w:val="20"/>
          <w:szCs w:val="20"/>
          <w:lang w:val="en-AU"/>
        </w:rPr>
        <w:t xml:space="preserve"> </w:t>
      </w:r>
      <w:r>
        <w:rPr>
          <w:rFonts w:ascii="Calibri" w:hAnsi="Calibri"/>
          <w:color w:val="000000"/>
          <w:sz w:val="20"/>
          <w:szCs w:val="20"/>
          <w:lang w:val="en-AU"/>
        </w:rPr>
        <w:t>supporting specific innovations.</w:t>
      </w:r>
      <w:r w:rsidR="00310C9D" w:rsidRPr="00676A39">
        <w:rPr>
          <w:rFonts w:ascii="Calibri" w:hAnsi="Calibri"/>
          <w:color w:val="000000"/>
          <w:sz w:val="20"/>
          <w:szCs w:val="20"/>
          <w:lang w:val="en-AU"/>
        </w:rPr>
        <w:t xml:space="preserve"> </w:t>
      </w:r>
      <w:r w:rsidR="00E655E8" w:rsidRPr="00676A39">
        <w:rPr>
          <w:rFonts w:ascii="Calibri" w:hAnsi="Calibri"/>
          <w:color w:val="000000"/>
          <w:sz w:val="20"/>
          <w:szCs w:val="20"/>
          <w:lang w:val="en-AU"/>
        </w:rPr>
        <w:t xml:space="preserve">There is some evidence of the iXc moving into this space, for example through the </w:t>
      </w:r>
      <w:hyperlink r:id="rId24" w:history="1">
        <w:r w:rsidR="00E655E8" w:rsidRPr="00676A39">
          <w:rPr>
            <w:rStyle w:val="Hyperlink"/>
            <w:rFonts w:ascii="Calibri" w:hAnsi="Calibri"/>
            <w:sz w:val="20"/>
            <w:szCs w:val="20"/>
            <w:lang w:val="en-AU"/>
          </w:rPr>
          <w:t>GSMA Ecosystem Accelerator</w:t>
        </w:r>
      </w:hyperlink>
      <w:r w:rsidR="00E655E8" w:rsidRPr="00676A39">
        <w:rPr>
          <w:rFonts w:ascii="Calibri" w:hAnsi="Calibri"/>
          <w:color w:val="000000"/>
          <w:sz w:val="20"/>
          <w:szCs w:val="20"/>
          <w:lang w:val="en-AU"/>
        </w:rPr>
        <w:t xml:space="preserve">, </w:t>
      </w:r>
      <w:hyperlink r:id="rId25" w:history="1">
        <w:r w:rsidR="00883DFF" w:rsidRPr="00676A39">
          <w:rPr>
            <w:rStyle w:val="Hyperlink"/>
            <w:rFonts w:ascii="Calibri" w:hAnsi="Calibri"/>
            <w:sz w:val="20"/>
            <w:szCs w:val="20"/>
            <w:lang w:val="en-AU"/>
          </w:rPr>
          <w:t>Scaling Frontier Innovation</w:t>
        </w:r>
      </w:hyperlink>
      <w:r w:rsidR="00883DFF" w:rsidRPr="00676A39">
        <w:rPr>
          <w:rFonts w:ascii="Calibri" w:hAnsi="Calibri"/>
          <w:color w:val="000000"/>
          <w:sz w:val="20"/>
          <w:szCs w:val="20"/>
          <w:lang w:val="en-AU"/>
        </w:rPr>
        <w:t xml:space="preserve"> (Frontier Incubators and Frontier Brokers components), and </w:t>
      </w:r>
      <w:hyperlink r:id="rId26" w:history="1">
        <w:r w:rsidR="00883DFF" w:rsidRPr="00676A39">
          <w:rPr>
            <w:rStyle w:val="Hyperlink"/>
            <w:rFonts w:ascii="Calibri" w:hAnsi="Calibri"/>
            <w:sz w:val="20"/>
            <w:szCs w:val="20"/>
            <w:lang w:val="en-AU"/>
          </w:rPr>
          <w:t>Aus4</w:t>
        </w:r>
        <w:r w:rsidR="009E7947">
          <w:rPr>
            <w:rStyle w:val="Hyperlink"/>
            <w:rFonts w:ascii="Calibri" w:hAnsi="Calibri"/>
            <w:sz w:val="20"/>
            <w:szCs w:val="20"/>
            <w:lang w:val="en-AU"/>
          </w:rPr>
          <w:t>I</w:t>
        </w:r>
        <w:r w:rsidR="00883DFF" w:rsidRPr="00676A39">
          <w:rPr>
            <w:rStyle w:val="Hyperlink"/>
            <w:rFonts w:ascii="Calibri" w:hAnsi="Calibri"/>
            <w:sz w:val="20"/>
            <w:szCs w:val="20"/>
            <w:lang w:val="en-AU"/>
          </w:rPr>
          <w:t>nnovation</w:t>
        </w:r>
      </w:hyperlink>
      <w:r w:rsidR="00C17882" w:rsidRPr="00676A39">
        <w:rPr>
          <w:rFonts w:ascii="Calibri" w:hAnsi="Calibri"/>
          <w:color w:val="000000"/>
          <w:sz w:val="20"/>
          <w:szCs w:val="20"/>
          <w:lang w:val="en-AU"/>
        </w:rPr>
        <w:t>,</w:t>
      </w:r>
      <w:r w:rsidR="00883DFF" w:rsidRPr="00676A39">
        <w:rPr>
          <w:rFonts w:ascii="Calibri" w:hAnsi="Calibri"/>
          <w:color w:val="000000"/>
          <w:sz w:val="20"/>
          <w:szCs w:val="20"/>
          <w:lang w:val="en-AU"/>
        </w:rPr>
        <w:t xml:space="preserve"> </w:t>
      </w:r>
      <w:r w:rsidR="00E655E8" w:rsidRPr="00676A39">
        <w:rPr>
          <w:rFonts w:ascii="Calibri" w:hAnsi="Calibri"/>
          <w:color w:val="000000"/>
          <w:sz w:val="20"/>
          <w:szCs w:val="20"/>
          <w:lang w:val="en-AU"/>
        </w:rPr>
        <w:t xml:space="preserve">but the iXc should </w:t>
      </w:r>
      <w:r w:rsidR="00310C9D" w:rsidRPr="00676A39">
        <w:rPr>
          <w:rFonts w:ascii="Calibri" w:hAnsi="Calibri"/>
          <w:color w:val="000000"/>
          <w:sz w:val="20"/>
          <w:szCs w:val="20"/>
          <w:lang w:val="en-AU"/>
        </w:rPr>
        <w:t>consider making innovation ecosystem-strengthening and</w:t>
      </w:r>
      <w:r w:rsidR="00E655E8" w:rsidRPr="00676A39">
        <w:rPr>
          <w:rFonts w:ascii="Calibri" w:hAnsi="Calibri"/>
          <w:color w:val="000000"/>
          <w:sz w:val="20"/>
          <w:szCs w:val="20"/>
          <w:lang w:val="en-AU"/>
        </w:rPr>
        <w:t xml:space="preserve"> </w:t>
      </w:r>
      <w:r w:rsidR="00144A81" w:rsidRPr="00144A81">
        <w:rPr>
          <w:rFonts w:ascii="Calibri" w:hAnsi="Calibri"/>
          <w:b/>
          <w:color w:val="000000"/>
          <w:sz w:val="20"/>
          <w:szCs w:val="20"/>
          <w:lang w:val="en-AU"/>
        </w:rPr>
        <w:t>market- and</w:t>
      </w:r>
      <w:r w:rsidR="00144A81">
        <w:rPr>
          <w:rFonts w:ascii="Calibri" w:hAnsi="Calibri"/>
          <w:color w:val="000000"/>
          <w:sz w:val="20"/>
          <w:szCs w:val="20"/>
          <w:lang w:val="en-AU"/>
        </w:rPr>
        <w:t xml:space="preserve"> </w:t>
      </w:r>
      <w:r w:rsidR="00913AEC" w:rsidRPr="00676A39">
        <w:rPr>
          <w:rFonts w:ascii="Calibri" w:hAnsi="Calibri"/>
          <w:b/>
          <w:color w:val="000000"/>
          <w:sz w:val="20"/>
          <w:szCs w:val="20"/>
          <w:lang w:val="en-AU"/>
        </w:rPr>
        <w:t>policy</w:t>
      </w:r>
      <w:r w:rsidR="00310C9D" w:rsidRPr="00676A39">
        <w:rPr>
          <w:rFonts w:ascii="Calibri" w:hAnsi="Calibri"/>
          <w:b/>
          <w:color w:val="000000"/>
          <w:sz w:val="20"/>
          <w:szCs w:val="20"/>
          <w:lang w:val="en-AU"/>
        </w:rPr>
        <w:t>-level</w:t>
      </w:r>
      <w:r w:rsidR="00913AEC" w:rsidRPr="00676A39">
        <w:rPr>
          <w:rFonts w:ascii="Calibri" w:hAnsi="Calibri"/>
          <w:b/>
          <w:color w:val="000000"/>
          <w:sz w:val="20"/>
          <w:szCs w:val="20"/>
          <w:lang w:val="en-AU"/>
        </w:rPr>
        <w:t xml:space="preserve"> </w:t>
      </w:r>
      <w:r w:rsidR="00310C9D" w:rsidRPr="00676A39">
        <w:rPr>
          <w:rFonts w:ascii="Calibri" w:hAnsi="Calibri"/>
          <w:b/>
          <w:color w:val="000000"/>
          <w:sz w:val="20"/>
          <w:szCs w:val="20"/>
          <w:lang w:val="en-AU"/>
        </w:rPr>
        <w:t>interventions</w:t>
      </w:r>
      <w:r w:rsidR="00913AEC" w:rsidRPr="00676A39">
        <w:rPr>
          <w:rFonts w:ascii="Calibri" w:hAnsi="Calibri"/>
          <w:color w:val="000000"/>
          <w:sz w:val="20"/>
          <w:szCs w:val="20"/>
          <w:lang w:val="en-AU"/>
        </w:rPr>
        <w:t xml:space="preserve"> </w:t>
      </w:r>
      <w:r w:rsidR="00310C9D" w:rsidRPr="00676A39">
        <w:rPr>
          <w:rFonts w:ascii="Calibri" w:hAnsi="Calibri"/>
          <w:color w:val="000000"/>
          <w:sz w:val="20"/>
          <w:szCs w:val="20"/>
          <w:lang w:val="en-AU"/>
        </w:rPr>
        <w:t xml:space="preserve">a clearer component of its strategy in order </w:t>
      </w:r>
      <w:r w:rsidR="00A276BE" w:rsidRPr="00676A39">
        <w:rPr>
          <w:rFonts w:ascii="Calibri" w:hAnsi="Calibri"/>
          <w:color w:val="000000"/>
          <w:sz w:val="20"/>
          <w:szCs w:val="20"/>
          <w:lang w:val="en-AU"/>
        </w:rPr>
        <w:t xml:space="preserve">to </w:t>
      </w:r>
      <w:r w:rsidR="00310C9D" w:rsidRPr="00676A39">
        <w:rPr>
          <w:rFonts w:ascii="Calibri" w:hAnsi="Calibri"/>
          <w:color w:val="000000"/>
          <w:sz w:val="20"/>
          <w:szCs w:val="20"/>
          <w:lang w:val="en-AU"/>
        </w:rPr>
        <w:t xml:space="preserve">indirectly </w:t>
      </w:r>
      <w:r w:rsidR="00A276BE" w:rsidRPr="00676A39">
        <w:rPr>
          <w:rFonts w:ascii="Calibri" w:hAnsi="Calibri"/>
          <w:color w:val="000000"/>
          <w:sz w:val="20"/>
          <w:szCs w:val="20"/>
          <w:lang w:val="en-AU"/>
        </w:rPr>
        <w:t>support</w:t>
      </w:r>
      <w:r w:rsidR="00310C9D" w:rsidRPr="00676A39">
        <w:rPr>
          <w:rFonts w:ascii="Calibri" w:hAnsi="Calibri"/>
          <w:color w:val="000000"/>
          <w:sz w:val="20"/>
          <w:szCs w:val="20"/>
          <w:lang w:val="en-AU"/>
        </w:rPr>
        <w:t xml:space="preserve"> more</w:t>
      </w:r>
      <w:r w:rsidR="00A276BE" w:rsidRPr="00676A39">
        <w:rPr>
          <w:rFonts w:ascii="Calibri" w:hAnsi="Calibri"/>
          <w:color w:val="000000"/>
          <w:sz w:val="20"/>
          <w:szCs w:val="20"/>
          <w:lang w:val="en-AU"/>
        </w:rPr>
        <w:t xml:space="preserve"> </w:t>
      </w:r>
      <w:r w:rsidR="00913AEC" w:rsidRPr="00676A39">
        <w:rPr>
          <w:rFonts w:ascii="Calibri" w:hAnsi="Calibri"/>
          <w:color w:val="000000"/>
          <w:sz w:val="20"/>
          <w:szCs w:val="20"/>
          <w:lang w:val="en-AU"/>
        </w:rPr>
        <w:t>innovator</w:t>
      </w:r>
      <w:r w:rsidR="00E655E8" w:rsidRPr="00676A39">
        <w:rPr>
          <w:rFonts w:ascii="Calibri" w:hAnsi="Calibri"/>
          <w:color w:val="000000"/>
          <w:sz w:val="20"/>
          <w:szCs w:val="20"/>
          <w:lang w:val="en-AU"/>
        </w:rPr>
        <w:t>s</w:t>
      </w:r>
      <w:r w:rsidR="00A276BE" w:rsidRPr="00676A39">
        <w:rPr>
          <w:rFonts w:ascii="Calibri" w:hAnsi="Calibri"/>
          <w:color w:val="000000"/>
          <w:sz w:val="20"/>
          <w:szCs w:val="20"/>
          <w:lang w:val="en-AU"/>
        </w:rPr>
        <w:t xml:space="preserve"> to progress through the scaling pathway</w:t>
      </w:r>
      <w:r w:rsidR="00580561">
        <w:rPr>
          <w:rFonts w:ascii="Calibri" w:hAnsi="Calibri"/>
          <w:color w:val="000000"/>
          <w:sz w:val="20"/>
          <w:szCs w:val="20"/>
          <w:lang w:val="en-AU"/>
        </w:rPr>
        <w:t>;</w:t>
      </w:r>
    </w:p>
    <w:p w14:paraId="541A77B6" w14:textId="678F06BE" w:rsidR="000E2901" w:rsidRPr="00676A39" w:rsidRDefault="00757D6F" w:rsidP="009349B6">
      <w:pPr>
        <w:pStyle w:val="ListParagraph"/>
        <w:numPr>
          <w:ilvl w:val="0"/>
          <w:numId w:val="14"/>
        </w:numPr>
        <w:spacing w:before="0" w:beforeAutospacing="0" w:after="80" w:afterAutospacing="0"/>
        <w:jc w:val="both"/>
        <w:rPr>
          <w:rFonts w:ascii="Calibri" w:hAnsi="Calibri"/>
          <w:color w:val="000000"/>
          <w:sz w:val="20"/>
          <w:szCs w:val="20"/>
          <w:lang w:val="en-AU"/>
        </w:rPr>
      </w:pPr>
      <w:r w:rsidRPr="00757D6F">
        <w:rPr>
          <w:rFonts w:ascii="Calibri" w:hAnsi="Calibri"/>
          <w:b/>
          <w:color w:val="000000"/>
          <w:sz w:val="20"/>
          <w:szCs w:val="20"/>
          <w:lang w:val="en-AU"/>
        </w:rPr>
        <w:t>B</w:t>
      </w:r>
      <w:r w:rsidR="008B20AE" w:rsidRPr="00757D6F">
        <w:rPr>
          <w:rFonts w:ascii="Calibri" w:hAnsi="Calibri"/>
          <w:b/>
          <w:color w:val="000000"/>
          <w:sz w:val="20"/>
          <w:szCs w:val="20"/>
          <w:lang w:val="en-AU"/>
        </w:rPr>
        <w:t>e</w:t>
      </w:r>
      <w:r w:rsidR="00310C9D" w:rsidRPr="00757D6F">
        <w:rPr>
          <w:rFonts w:ascii="Calibri" w:hAnsi="Calibri"/>
          <w:b/>
          <w:color w:val="000000"/>
          <w:sz w:val="20"/>
          <w:szCs w:val="20"/>
          <w:lang w:val="en-AU"/>
        </w:rPr>
        <w:t xml:space="preserve"> more</w:t>
      </w:r>
      <w:r w:rsidR="008B20AE" w:rsidRPr="00757D6F">
        <w:rPr>
          <w:rFonts w:ascii="Calibri" w:hAnsi="Calibri"/>
          <w:b/>
          <w:color w:val="000000"/>
          <w:sz w:val="20"/>
          <w:szCs w:val="20"/>
          <w:lang w:val="en-AU"/>
        </w:rPr>
        <w:t xml:space="preserve"> intentional</w:t>
      </w:r>
      <w:r w:rsidR="008B20AE" w:rsidRPr="00676A39">
        <w:rPr>
          <w:rFonts w:ascii="Calibri" w:hAnsi="Calibri"/>
          <w:b/>
          <w:color w:val="000000"/>
          <w:sz w:val="20"/>
          <w:szCs w:val="20"/>
          <w:lang w:val="en-AU"/>
        </w:rPr>
        <w:t xml:space="preserve"> about balanc</w:t>
      </w:r>
      <w:r w:rsidR="00310C9D" w:rsidRPr="00676A39">
        <w:rPr>
          <w:rFonts w:ascii="Calibri" w:hAnsi="Calibri"/>
          <w:b/>
          <w:color w:val="000000"/>
          <w:sz w:val="20"/>
          <w:szCs w:val="20"/>
          <w:lang w:val="en-AU"/>
        </w:rPr>
        <w:t>ing</w:t>
      </w:r>
      <w:r w:rsidR="008B20AE" w:rsidRPr="00676A39">
        <w:rPr>
          <w:rFonts w:ascii="Calibri" w:hAnsi="Calibri"/>
          <w:b/>
          <w:color w:val="000000"/>
          <w:sz w:val="20"/>
          <w:szCs w:val="20"/>
          <w:lang w:val="en-AU"/>
        </w:rPr>
        <w:t xml:space="preserve"> the</w:t>
      </w:r>
      <w:r w:rsidR="00580561">
        <w:rPr>
          <w:rFonts w:ascii="Calibri" w:hAnsi="Calibri"/>
          <w:b/>
          <w:color w:val="000000"/>
          <w:sz w:val="20"/>
          <w:szCs w:val="20"/>
          <w:lang w:val="en-AU"/>
        </w:rPr>
        <w:t xml:space="preserve"> </w:t>
      </w:r>
      <w:r w:rsidR="008B20AE" w:rsidRPr="00676A39">
        <w:rPr>
          <w:rFonts w:ascii="Calibri" w:hAnsi="Calibri"/>
          <w:b/>
          <w:color w:val="000000"/>
          <w:sz w:val="20"/>
          <w:szCs w:val="20"/>
          <w:lang w:val="en-AU"/>
        </w:rPr>
        <w:t>portfolio</w:t>
      </w:r>
      <w:r w:rsidR="008B20AE" w:rsidRPr="00676A39">
        <w:rPr>
          <w:rFonts w:ascii="Calibri" w:hAnsi="Calibri"/>
          <w:color w:val="000000"/>
          <w:sz w:val="20"/>
          <w:szCs w:val="20"/>
          <w:lang w:val="en-AU"/>
        </w:rPr>
        <w:t xml:space="preserve">, both in terms of </w:t>
      </w:r>
      <w:r w:rsidR="00DD6E64" w:rsidRPr="00676A39">
        <w:rPr>
          <w:rFonts w:ascii="Calibri" w:hAnsi="Calibri"/>
          <w:color w:val="000000"/>
          <w:sz w:val="20"/>
          <w:szCs w:val="20"/>
          <w:lang w:val="en-AU"/>
        </w:rPr>
        <w:t>risk and stage of innovation</w:t>
      </w:r>
      <w:r w:rsidR="009E7947">
        <w:rPr>
          <w:rFonts w:ascii="Calibri" w:hAnsi="Calibri"/>
          <w:color w:val="000000"/>
          <w:sz w:val="20"/>
          <w:szCs w:val="20"/>
          <w:lang w:val="en-AU"/>
        </w:rPr>
        <w:t>,</w:t>
      </w:r>
      <w:r w:rsidR="00310C9D" w:rsidRPr="00676A39">
        <w:rPr>
          <w:rFonts w:ascii="Calibri" w:hAnsi="Calibri"/>
          <w:color w:val="000000"/>
          <w:sz w:val="20"/>
          <w:szCs w:val="20"/>
          <w:lang w:val="en-AU"/>
        </w:rPr>
        <w:t xml:space="preserve"> given that the majority of its first investments focused on early stage innovations with a higher likelihood of failure</w:t>
      </w:r>
      <w:r w:rsidR="00F92E2D" w:rsidRPr="00676A39">
        <w:rPr>
          <w:rFonts w:ascii="Calibri" w:hAnsi="Calibri"/>
          <w:color w:val="000000"/>
          <w:sz w:val="20"/>
          <w:szCs w:val="20"/>
          <w:lang w:val="en-AU"/>
        </w:rPr>
        <w:t xml:space="preserve">. </w:t>
      </w:r>
      <w:r w:rsidR="00913AEC" w:rsidRPr="00676A39">
        <w:rPr>
          <w:rFonts w:ascii="Calibri" w:hAnsi="Calibri"/>
          <w:color w:val="000000"/>
          <w:sz w:val="20"/>
          <w:szCs w:val="20"/>
          <w:lang w:val="en-AU"/>
        </w:rPr>
        <w:t>Improved monitoring, evaluation and learning</w:t>
      </w:r>
      <w:r w:rsidR="00E8671A" w:rsidRPr="00676A39">
        <w:rPr>
          <w:rFonts w:ascii="Calibri" w:hAnsi="Calibri"/>
          <w:color w:val="000000"/>
          <w:sz w:val="20"/>
          <w:szCs w:val="20"/>
          <w:lang w:val="en-AU"/>
        </w:rPr>
        <w:t xml:space="preserve"> processes to</w:t>
      </w:r>
      <w:r w:rsidR="00913AEC" w:rsidRPr="00676A39">
        <w:rPr>
          <w:rFonts w:ascii="Calibri" w:hAnsi="Calibri"/>
          <w:color w:val="000000"/>
          <w:sz w:val="20"/>
          <w:szCs w:val="20"/>
          <w:lang w:val="en-AU"/>
        </w:rPr>
        <w:t xml:space="preserve"> support the iXc in using </w:t>
      </w:r>
      <w:r>
        <w:rPr>
          <w:rFonts w:ascii="Calibri" w:hAnsi="Calibri"/>
          <w:color w:val="000000"/>
          <w:sz w:val="20"/>
          <w:szCs w:val="20"/>
          <w:lang w:val="en-AU"/>
        </w:rPr>
        <w:t xml:space="preserve">program </w:t>
      </w:r>
      <w:r w:rsidR="00913AEC" w:rsidRPr="00676A39">
        <w:rPr>
          <w:rFonts w:ascii="Calibri" w:hAnsi="Calibri"/>
          <w:color w:val="000000"/>
          <w:sz w:val="20"/>
          <w:szCs w:val="20"/>
          <w:lang w:val="en-AU"/>
        </w:rPr>
        <w:t xml:space="preserve">data to </w:t>
      </w:r>
      <w:r w:rsidR="00E8671A" w:rsidRPr="00676A39">
        <w:rPr>
          <w:rFonts w:ascii="Calibri" w:hAnsi="Calibri"/>
          <w:color w:val="000000"/>
          <w:sz w:val="20"/>
          <w:szCs w:val="20"/>
          <w:lang w:val="en-AU"/>
        </w:rPr>
        <w:t xml:space="preserve">inform their ongoing strategy will </w:t>
      </w:r>
      <w:r w:rsidR="00465A15" w:rsidRPr="00676A39">
        <w:rPr>
          <w:rFonts w:ascii="Calibri" w:hAnsi="Calibri"/>
          <w:color w:val="000000"/>
          <w:sz w:val="20"/>
          <w:szCs w:val="20"/>
          <w:lang w:val="en-AU"/>
        </w:rPr>
        <w:t xml:space="preserve">also </w:t>
      </w:r>
      <w:r w:rsidR="00E8671A" w:rsidRPr="00676A39">
        <w:rPr>
          <w:rFonts w:ascii="Calibri" w:hAnsi="Calibri"/>
          <w:color w:val="000000"/>
          <w:sz w:val="20"/>
          <w:szCs w:val="20"/>
          <w:lang w:val="en-AU"/>
        </w:rPr>
        <w:t>be important</w:t>
      </w:r>
      <w:r w:rsidR="00580561">
        <w:rPr>
          <w:rFonts w:ascii="Calibri" w:hAnsi="Calibri"/>
          <w:color w:val="000000"/>
          <w:sz w:val="20"/>
          <w:szCs w:val="20"/>
          <w:lang w:val="en-AU"/>
        </w:rPr>
        <w:t>;</w:t>
      </w:r>
      <w:r w:rsidR="00C453B4">
        <w:rPr>
          <w:rStyle w:val="FootnoteReference"/>
          <w:rFonts w:ascii="Calibri" w:hAnsi="Calibri"/>
          <w:color w:val="000000"/>
          <w:sz w:val="20"/>
          <w:szCs w:val="20"/>
          <w:lang w:val="en-AU"/>
        </w:rPr>
        <w:footnoteReference w:id="11"/>
      </w:r>
    </w:p>
    <w:p w14:paraId="50B1F7B6" w14:textId="28B1C98E" w:rsidR="00682E09" w:rsidRPr="009456A3" w:rsidRDefault="00682E09" w:rsidP="009349B6">
      <w:pPr>
        <w:pStyle w:val="ListParagraph"/>
        <w:numPr>
          <w:ilvl w:val="0"/>
          <w:numId w:val="14"/>
        </w:numPr>
        <w:spacing w:before="0" w:beforeAutospacing="0" w:after="40" w:afterAutospacing="0"/>
        <w:jc w:val="both"/>
        <w:rPr>
          <w:rFonts w:ascii="Calibri" w:hAnsi="Calibri"/>
          <w:color w:val="000000"/>
          <w:sz w:val="20"/>
          <w:szCs w:val="20"/>
          <w:lang w:val="en-AU"/>
        </w:rPr>
      </w:pPr>
      <w:r w:rsidRPr="009456A3">
        <w:rPr>
          <w:rFonts w:ascii="Calibri" w:hAnsi="Calibri"/>
          <w:b/>
          <w:sz w:val="20"/>
          <w:szCs w:val="20"/>
          <w:lang w:val="en-AU"/>
        </w:rPr>
        <w:t>Designing for sustainable impact</w:t>
      </w:r>
      <w:r w:rsidRPr="009456A3">
        <w:rPr>
          <w:rFonts w:ascii="Calibri" w:hAnsi="Calibri"/>
          <w:sz w:val="20"/>
          <w:szCs w:val="20"/>
          <w:lang w:val="en-AU"/>
        </w:rPr>
        <w:t xml:space="preserve"> amongst clearly defined target populations (including ensuring that innovators are sufficiently focussed on the global poor);</w:t>
      </w:r>
      <w:r w:rsidR="00144A81" w:rsidRPr="009456A3">
        <w:rPr>
          <w:rFonts w:ascii="Calibri" w:hAnsi="Calibri"/>
          <w:sz w:val="20"/>
          <w:szCs w:val="20"/>
          <w:lang w:val="en-AU"/>
        </w:rPr>
        <w:t xml:space="preserve"> and </w:t>
      </w:r>
    </w:p>
    <w:p w14:paraId="55B4F1A8" w14:textId="12EE0B79" w:rsidR="00682E09" w:rsidRPr="00963151" w:rsidRDefault="00682E09" w:rsidP="009349B6">
      <w:pPr>
        <w:pStyle w:val="ListParagraph"/>
        <w:numPr>
          <w:ilvl w:val="0"/>
          <w:numId w:val="14"/>
        </w:numPr>
        <w:spacing w:before="0" w:beforeAutospacing="0" w:after="80" w:afterAutospacing="0"/>
        <w:jc w:val="both"/>
        <w:rPr>
          <w:rFonts w:ascii="Calibri" w:hAnsi="Calibri"/>
          <w:color w:val="000000"/>
          <w:sz w:val="20"/>
          <w:szCs w:val="20"/>
          <w:lang w:val="en-AU"/>
        </w:rPr>
      </w:pPr>
      <w:r w:rsidRPr="00D82FB7">
        <w:rPr>
          <w:rFonts w:ascii="Calibri" w:hAnsi="Calibri"/>
          <w:b/>
          <w:sz w:val="20"/>
          <w:szCs w:val="20"/>
          <w:lang w:val="en-AU"/>
        </w:rPr>
        <w:t>Supporting partners</w:t>
      </w:r>
      <w:r w:rsidRPr="009456A3">
        <w:rPr>
          <w:rFonts w:ascii="Calibri" w:hAnsi="Calibri"/>
          <w:b/>
          <w:sz w:val="20"/>
          <w:szCs w:val="20"/>
          <w:lang w:val="en-AU"/>
        </w:rPr>
        <w:t xml:space="preserve"> to design for scale</w:t>
      </w:r>
      <w:r w:rsidRPr="009456A3">
        <w:rPr>
          <w:rFonts w:ascii="Calibri" w:hAnsi="Calibri"/>
          <w:sz w:val="20"/>
          <w:szCs w:val="20"/>
          <w:lang w:val="en-AU"/>
        </w:rPr>
        <w:t>, in order to enable the portfolio to support a larger number of later stage, high-impact innovations</w:t>
      </w:r>
      <w:r w:rsidR="00580561">
        <w:rPr>
          <w:rFonts w:ascii="Calibri" w:hAnsi="Calibri"/>
          <w:sz w:val="20"/>
          <w:szCs w:val="20"/>
          <w:lang w:val="en-AU"/>
        </w:rPr>
        <w:t>.</w:t>
      </w:r>
      <w:r w:rsidRPr="009456A3">
        <w:rPr>
          <w:rStyle w:val="FootnoteReference"/>
          <w:rFonts w:ascii="Calibri" w:hAnsi="Calibri"/>
          <w:sz w:val="20"/>
          <w:szCs w:val="20"/>
          <w:lang w:val="en-AU"/>
        </w:rPr>
        <w:footnoteReference w:id="12"/>
      </w:r>
    </w:p>
    <w:p w14:paraId="4888801B" w14:textId="77777777" w:rsidR="000E2901" w:rsidRDefault="000E2901" w:rsidP="001F2786">
      <w:pPr>
        <w:spacing w:after="80"/>
        <w:jc w:val="both"/>
        <w:rPr>
          <w:rFonts w:ascii="Calibri" w:hAnsi="Calibri"/>
          <w:color w:val="000000"/>
          <w:sz w:val="20"/>
          <w:szCs w:val="20"/>
          <w:lang w:val="en-AU"/>
        </w:rPr>
      </w:pPr>
    </w:p>
    <w:p w14:paraId="7D30FCAF" w14:textId="1F092AED" w:rsidR="00051119" w:rsidRPr="00051119" w:rsidRDefault="0097464E" w:rsidP="001F2786">
      <w:pPr>
        <w:pStyle w:val="Heading2"/>
        <w:jc w:val="both"/>
      </w:pPr>
      <w:r>
        <w:t xml:space="preserve">Learning how to partner </w:t>
      </w:r>
      <w:r w:rsidR="00D45097">
        <w:t xml:space="preserve">effectively </w:t>
      </w:r>
      <w:r>
        <w:t xml:space="preserve">with external organizations </w:t>
      </w:r>
    </w:p>
    <w:p w14:paraId="59E59F3F" w14:textId="0F288133" w:rsidR="0097464E" w:rsidRDefault="0097464E" w:rsidP="001F2786">
      <w:pPr>
        <w:spacing w:after="80"/>
        <w:jc w:val="both"/>
        <w:rPr>
          <w:rFonts w:ascii="Calibri" w:hAnsi="Calibri"/>
          <w:sz w:val="20"/>
          <w:szCs w:val="20"/>
          <w:lang w:val="en-AU"/>
        </w:rPr>
      </w:pPr>
      <w:r w:rsidRPr="009D32C8">
        <w:rPr>
          <w:rFonts w:ascii="Calibri" w:eastAsia="Times New Roman" w:hAnsi="Calibri" w:cs="Times New Roman"/>
          <w:color w:val="000000"/>
          <w:sz w:val="20"/>
          <w:szCs w:val="20"/>
          <w:lang w:val="en-AU"/>
        </w:rPr>
        <w:t xml:space="preserve">The iXc established </w:t>
      </w:r>
      <w:r w:rsidR="00AC71AF">
        <w:rPr>
          <w:rFonts w:ascii="Calibri" w:eastAsia="Times New Roman" w:hAnsi="Calibri" w:cs="Times New Roman"/>
          <w:color w:val="000000"/>
          <w:sz w:val="20"/>
          <w:szCs w:val="20"/>
          <w:lang w:val="en-AU"/>
        </w:rPr>
        <w:t>several</w:t>
      </w:r>
      <w:r w:rsidRPr="009D32C8">
        <w:rPr>
          <w:rFonts w:ascii="Calibri" w:eastAsia="Times New Roman" w:hAnsi="Calibri" w:cs="Times New Roman"/>
          <w:color w:val="000000"/>
          <w:sz w:val="20"/>
          <w:szCs w:val="20"/>
          <w:lang w:val="en-AU"/>
        </w:rPr>
        <w:t xml:space="preserve"> external partnerships </w:t>
      </w:r>
      <w:r w:rsidR="004755F5">
        <w:rPr>
          <w:rFonts w:ascii="Calibri" w:eastAsia="Times New Roman" w:hAnsi="Calibri" w:cs="Times New Roman"/>
          <w:color w:val="000000"/>
          <w:sz w:val="20"/>
          <w:szCs w:val="20"/>
          <w:lang w:val="en-AU"/>
        </w:rPr>
        <w:t>from 2015-18</w:t>
      </w:r>
      <w:r w:rsidR="008A467B">
        <w:rPr>
          <w:rFonts w:ascii="Calibri" w:eastAsia="Times New Roman" w:hAnsi="Calibri" w:cs="Times New Roman"/>
          <w:color w:val="000000"/>
          <w:sz w:val="20"/>
          <w:szCs w:val="20"/>
          <w:lang w:val="en-AU"/>
        </w:rPr>
        <w:t xml:space="preserve">, with various actors </w:t>
      </w:r>
      <w:r w:rsidR="004755F5">
        <w:rPr>
          <w:rFonts w:ascii="Calibri" w:eastAsia="Times New Roman" w:hAnsi="Calibri" w:cs="Times New Roman"/>
          <w:color w:val="000000"/>
          <w:sz w:val="20"/>
          <w:szCs w:val="20"/>
          <w:lang w:val="en-AU"/>
        </w:rPr>
        <w:t>including</w:t>
      </w:r>
      <w:r w:rsidR="008A467B">
        <w:rPr>
          <w:rFonts w:ascii="Calibri" w:eastAsia="Times New Roman" w:hAnsi="Calibri" w:cs="Times New Roman"/>
          <w:color w:val="000000"/>
          <w:sz w:val="20"/>
          <w:szCs w:val="20"/>
          <w:lang w:val="en-AU"/>
        </w:rPr>
        <w:t xml:space="preserve"> private sector</w:t>
      </w:r>
      <w:r w:rsidR="004755F5">
        <w:rPr>
          <w:rFonts w:ascii="Calibri" w:eastAsia="Times New Roman" w:hAnsi="Calibri" w:cs="Times New Roman"/>
          <w:color w:val="000000"/>
          <w:sz w:val="20"/>
          <w:szCs w:val="20"/>
          <w:lang w:val="en-AU"/>
        </w:rPr>
        <w:t xml:space="preserve"> companies</w:t>
      </w:r>
      <w:r w:rsidR="008A467B">
        <w:rPr>
          <w:rFonts w:ascii="Calibri" w:eastAsia="Times New Roman" w:hAnsi="Calibri" w:cs="Times New Roman"/>
          <w:color w:val="000000"/>
          <w:sz w:val="20"/>
          <w:szCs w:val="20"/>
          <w:lang w:val="en-AU"/>
        </w:rPr>
        <w:t>, global programs and philanthropic organi</w:t>
      </w:r>
      <w:r w:rsidR="00FB2B6A">
        <w:rPr>
          <w:rFonts w:ascii="Calibri" w:eastAsia="Times New Roman" w:hAnsi="Calibri" w:cs="Times New Roman"/>
          <w:color w:val="000000"/>
          <w:sz w:val="20"/>
          <w:szCs w:val="20"/>
          <w:lang w:val="en-AU"/>
        </w:rPr>
        <w:t>z</w:t>
      </w:r>
      <w:r w:rsidR="008A467B">
        <w:rPr>
          <w:rFonts w:ascii="Calibri" w:eastAsia="Times New Roman" w:hAnsi="Calibri" w:cs="Times New Roman"/>
          <w:color w:val="000000"/>
          <w:sz w:val="20"/>
          <w:szCs w:val="20"/>
          <w:lang w:val="en-AU"/>
        </w:rPr>
        <w:t>ations</w:t>
      </w:r>
      <w:r w:rsidR="007E4A72">
        <w:rPr>
          <w:rFonts w:ascii="Calibri" w:eastAsia="Times New Roman" w:hAnsi="Calibri" w:cs="Times New Roman"/>
          <w:color w:val="000000"/>
          <w:sz w:val="20"/>
          <w:szCs w:val="20"/>
          <w:lang w:val="en-AU"/>
        </w:rPr>
        <w:t>, that were new partners for DFAT, bringing fresh knowledge and ideas</w:t>
      </w:r>
      <w:r w:rsidR="008A467B">
        <w:rPr>
          <w:rFonts w:ascii="Calibri" w:eastAsia="Times New Roman" w:hAnsi="Calibri" w:cs="Times New Roman"/>
          <w:color w:val="000000"/>
          <w:sz w:val="20"/>
          <w:szCs w:val="20"/>
          <w:lang w:val="en-AU"/>
        </w:rPr>
        <w:t>.</w:t>
      </w:r>
      <w:r w:rsidRPr="009D32C8">
        <w:rPr>
          <w:rFonts w:ascii="Calibri" w:eastAsia="Times New Roman" w:hAnsi="Calibri" w:cs="Times New Roman"/>
          <w:color w:val="000000"/>
          <w:sz w:val="20"/>
          <w:szCs w:val="20"/>
          <w:lang w:val="en-AU"/>
        </w:rPr>
        <w:t xml:space="preserve"> </w:t>
      </w:r>
      <w:r w:rsidR="007F5977">
        <w:rPr>
          <w:rFonts w:ascii="Calibri" w:hAnsi="Calibri"/>
          <w:sz w:val="20"/>
          <w:szCs w:val="20"/>
          <w:lang w:val="en-AU"/>
        </w:rPr>
        <w:t>The iXc capitali</w:t>
      </w:r>
      <w:r w:rsidR="00FB2B6A">
        <w:rPr>
          <w:rFonts w:ascii="Calibri" w:hAnsi="Calibri"/>
          <w:sz w:val="20"/>
          <w:szCs w:val="20"/>
          <w:lang w:val="en-AU"/>
        </w:rPr>
        <w:t>z</w:t>
      </w:r>
      <w:r w:rsidR="007F5977">
        <w:rPr>
          <w:rFonts w:ascii="Calibri" w:hAnsi="Calibri"/>
          <w:sz w:val="20"/>
          <w:szCs w:val="20"/>
          <w:lang w:val="en-AU"/>
        </w:rPr>
        <w:t xml:space="preserve">ed on the opportunity to help partners (particularly in the private sector) </w:t>
      </w:r>
      <w:r w:rsidR="00613E91">
        <w:rPr>
          <w:rFonts w:ascii="Calibri" w:hAnsi="Calibri"/>
          <w:sz w:val="20"/>
          <w:szCs w:val="20"/>
          <w:lang w:val="en-AU"/>
        </w:rPr>
        <w:t>build</w:t>
      </w:r>
      <w:r w:rsidR="007F5977">
        <w:rPr>
          <w:rFonts w:ascii="Calibri" w:hAnsi="Calibri"/>
          <w:sz w:val="20"/>
          <w:szCs w:val="20"/>
          <w:lang w:val="en-AU"/>
        </w:rPr>
        <w:t xml:space="preserve"> their understanding of the development sector, </w:t>
      </w:r>
      <w:r w:rsidR="00613E91">
        <w:rPr>
          <w:rFonts w:ascii="Calibri" w:hAnsi="Calibri"/>
          <w:sz w:val="20"/>
          <w:szCs w:val="20"/>
          <w:lang w:val="en-AU"/>
        </w:rPr>
        <w:t>with the aim of</w:t>
      </w:r>
      <w:r w:rsidR="007F5977">
        <w:rPr>
          <w:rFonts w:ascii="Calibri" w:hAnsi="Calibri"/>
          <w:sz w:val="20"/>
          <w:szCs w:val="20"/>
          <w:lang w:val="en-AU"/>
        </w:rPr>
        <w:t xml:space="preserve"> leverag</w:t>
      </w:r>
      <w:r w:rsidR="00613E91">
        <w:rPr>
          <w:rFonts w:ascii="Calibri" w:hAnsi="Calibri"/>
          <w:sz w:val="20"/>
          <w:szCs w:val="20"/>
          <w:lang w:val="en-AU"/>
        </w:rPr>
        <w:t>ing</w:t>
      </w:r>
      <w:r w:rsidR="007F5977">
        <w:rPr>
          <w:rFonts w:ascii="Calibri" w:hAnsi="Calibri"/>
          <w:sz w:val="20"/>
          <w:szCs w:val="20"/>
          <w:lang w:val="en-AU"/>
        </w:rPr>
        <w:t xml:space="preserve"> their business activities to </w:t>
      </w:r>
      <w:r w:rsidR="00613E91">
        <w:rPr>
          <w:rFonts w:ascii="Calibri" w:hAnsi="Calibri"/>
          <w:sz w:val="20"/>
          <w:szCs w:val="20"/>
          <w:lang w:val="en-AU"/>
        </w:rPr>
        <w:t>contribute towards</w:t>
      </w:r>
      <w:r w:rsidR="007F5977">
        <w:rPr>
          <w:rFonts w:ascii="Calibri" w:hAnsi="Calibri"/>
          <w:sz w:val="20"/>
          <w:szCs w:val="20"/>
          <w:lang w:val="en-AU"/>
        </w:rPr>
        <w:t xml:space="preserve"> </w:t>
      </w:r>
      <w:r w:rsidR="00613E91">
        <w:rPr>
          <w:rFonts w:ascii="Calibri" w:hAnsi="Calibri"/>
          <w:sz w:val="20"/>
          <w:szCs w:val="20"/>
          <w:lang w:val="en-AU"/>
        </w:rPr>
        <w:t>progress against</w:t>
      </w:r>
      <w:r w:rsidR="007F5977">
        <w:rPr>
          <w:rFonts w:ascii="Calibri" w:hAnsi="Calibri"/>
          <w:sz w:val="20"/>
          <w:szCs w:val="20"/>
          <w:lang w:val="en-AU"/>
        </w:rPr>
        <w:t xml:space="preserve"> the SDGs.</w:t>
      </w:r>
      <w:r w:rsidR="00337075">
        <w:rPr>
          <w:rFonts w:ascii="Calibri" w:hAnsi="Calibri"/>
          <w:sz w:val="20"/>
          <w:szCs w:val="20"/>
          <w:lang w:val="en-AU"/>
        </w:rPr>
        <w:t xml:space="preserve"> </w:t>
      </w:r>
      <w:r w:rsidRPr="009D32C8">
        <w:rPr>
          <w:rFonts w:ascii="Calibri" w:hAnsi="Calibri"/>
          <w:sz w:val="20"/>
          <w:szCs w:val="20"/>
          <w:lang w:val="en-AU"/>
        </w:rPr>
        <w:t xml:space="preserve">These </w:t>
      </w:r>
      <w:r w:rsidR="004755F5">
        <w:rPr>
          <w:rFonts w:ascii="Calibri" w:hAnsi="Calibri"/>
          <w:sz w:val="20"/>
          <w:szCs w:val="20"/>
          <w:lang w:val="en-AU"/>
        </w:rPr>
        <w:t xml:space="preserve">partnerships </w:t>
      </w:r>
      <w:r w:rsidRPr="009D32C8">
        <w:rPr>
          <w:rFonts w:ascii="Calibri" w:hAnsi="Calibri"/>
          <w:sz w:val="20"/>
          <w:szCs w:val="20"/>
          <w:lang w:val="en-AU"/>
        </w:rPr>
        <w:t xml:space="preserve">were largely initiated through networking (i.e. conferences and events) and previous DFAT </w:t>
      </w:r>
      <w:r w:rsidR="004755F5">
        <w:rPr>
          <w:rFonts w:ascii="Calibri" w:hAnsi="Calibri"/>
          <w:sz w:val="20"/>
          <w:szCs w:val="20"/>
          <w:lang w:val="en-AU"/>
        </w:rPr>
        <w:t>relationships</w:t>
      </w:r>
      <w:r w:rsidRPr="009D32C8">
        <w:rPr>
          <w:rFonts w:ascii="Calibri" w:hAnsi="Calibri"/>
          <w:sz w:val="20"/>
          <w:szCs w:val="20"/>
          <w:lang w:val="en-AU"/>
        </w:rPr>
        <w:t xml:space="preserve"> leading to further opportunities. </w:t>
      </w:r>
      <w:r w:rsidRPr="009D32C8">
        <w:rPr>
          <w:sz w:val="20"/>
          <w:szCs w:val="20"/>
          <w:lang w:val="en-AU"/>
        </w:rPr>
        <w:t>Most external partners were co-leading</w:t>
      </w:r>
      <w:r>
        <w:rPr>
          <w:sz w:val="20"/>
          <w:szCs w:val="20"/>
          <w:lang w:val="en-AU"/>
        </w:rPr>
        <w:t xml:space="preserve"> </w:t>
      </w:r>
      <w:r w:rsidRPr="009D32C8">
        <w:rPr>
          <w:sz w:val="20"/>
          <w:szCs w:val="20"/>
          <w:lang w:val="en-AU"/>
        </w:rPr>
        <w:t>programs with the iXc designed to benefit poor people in the developing world</w:t>
      </w:r>
      <w:r>
        <w:rPr>
          <w:sz w:val="20"/>
          <w:szCs w:val="20"/>
          <w:lang w:val="en-AU"/>
        </w:rPr>
        <w:t xml:space="preserve"> and t</w:t>
      </w:r>
      <w:r>
        <w:rPr>
          <w:rFonts w:ascii="Calibri" w:hAnsi="Calibri"/>
          <w:sz w:val="20"/>
          <w:szCs w:val="20"/>
          <w:lang w:val="en-AU"/>
        </w:rPr>
        <w:t xml:space="preserve">he key drivers for establishing these </w:t>
      </w:r>
      <w:r w:rsidRPr="004C0F63">
        <w:rPr>
          <w:rFonts w:ascii="Calibri" w:hAnsi="Calibri"/>
          <w:sz w:val="20"/>
          <w:szCs w:val="20"/>
          <w:lang w:val="en-AU"/>
        </w:rPr>
        <w:t>alliances</w:t>
      </w:r>
      <w:r>
        <w:rPr>
          <w:rFonts w:ascii="Calibri" w:hAnsi="Calibri"/>
          <w:sz w:val="20"/>
          <w:szCs w:val="20"/>
          <w:lang w:val="en-AU"/>
        </w:rPr>
        <w:t xml:space="preserve"> were generally co-funding or </w:t>
      </w:r>
      <w:r w:rsidR="004A3665">
        <w:rPr>
          <w:rFonts w:ascii="Calibri" w:hAnsi="Calibri"/>
          <w:sz w:val="20"/>
          <w:szCs w:val="20"/>
          <w:lang w:val="en-AU"/>
        </w:rPr>
        <w:t xml:space="preserve">collaborative </w:t>
      </w:r>
      <w:r>
        <w:rPr>
          <w:rFonts w:ascii="Calibri" w:hAnsi="Calibri"/>
          <w:sz w:val="20"/>
          <w:szCs w:val="20"/>
          <w:lang w:val="en-AU"/>
        </w:rPr>
        <w:t xml:space="preserve">thought </w:t>
      </w:r>
      <w:r w:rsidR="004A3665">
        <w:rPr>
          <w:rFonts w:ascii="Calibri" w:hAnsi="Calibri"/>
          <w:sz w:val="20"/>
          <w:szCs w:val="20"/>
          <w:lang w:val="en-AU"/>
        </w:rPr>
        <w:t>leadership</w:t>
      </w:r>
      <w:r>
        <w:rPr>
          <w:rFonts w:ascii="Calibri" w:hAnsi="Calibri"/>
          <w:sz w:val="20"/>
          <w:szCs w:val="20"/>
          <w:lang w:val="en-AU"/>
        </w:rPr>
        <w:t>. Some examples include:</w:t>
      </w:r>
    </w:p>
    <w:p w14:paraId="2412443A" w14:textId="63044B47" w:rsidR="0097464E" w:rsidRDefault="0032096F" w:rsidP="009349B6">
      <w:pPr>
        <w:pStyle w:val="ListParagraph"/>
        <w:numPr>
          <w:ilvl w:val="0"/>
          <w:numId w:val="4"/>
        </w:numPr>
        <w:spacing w:before="0" w:beforeAutospacing="0" w:after="40" w:afterAutospacing="0"/>
        <w:jc w:val="both"/>
        <w:rPr>
          <w:rFonts w:ascii="Calibri" w:hAnsi="Calibri"/>
          <w:color w:val="000000"/>
          <w:sz w:val="20"/>
          <w:szCs w:val="20"/>
          <w:lang w:val="en-AU"/>
        </w:rPr>
      </w:pPr>
      <w:r>
        <w:rPr>
          <w:rFonts w:ascii="Calibri" w:hAnsi="Calibri"/>
          <w:color w:val="000000"/>
          <w:sz w:val="20"/>
          <w:szCs w:val="20"/>
          <w:lang w:val="en-AU"/>
        </w:rPr>
        <w:t>Collaborating</w:t>
      </w:r>
      <w:r w:rsidR="000054BE">
        <w:rPr>
          <w:rFonts w:ascii="Calibri" w:hAnsi="Calibri"/>
          <w:color w:val="000000"/>
          <w:sz w:val="20"/>
          <w:szCs w:val="20"/>
          <w:lang w:val="en-AU"/>
        </w:rPr>
        <w:t xml:space="preserve"> with </w:t>
      </w:r>
      <w:r w:rsidR="006E16D7" w:rsidRPr="006E16D7">
        <w:rPr>
          <w:rFonts w:ascii="Calibri" w:hAnsi="Calibri"/>
          <w:b/>
          <w:color w:val="000000"/>
          <w:sz w:val="20"/>
          <w:szCs w:val="20"/>
          <w:lang w:val="en-AU"/>
        </w:rPr>
        <w:t>Bloomberg</w:t>
      </w:r>
      <w:r w:rsidR="006E16D7">
        <w:rPr>
          <w:rFonts w:ascii="Calibri" w:hAnsi="Calibri"/>
          <w:b/>
          <w:color w:val="000000"/>
          <w:sz w:val="20"/>
          <w:szCs w:val="20"/>
          <w:lang w:val="en-AU"/>
        </w:rPr>
        <w:t xml:space="preserve"> Philanthropies</w:t>
      </w:r>
      <w:r w:rsidR="000054BE">
        <w:rPr>
          <w:rFonts w:ascii="Calibri" w:hAnsi="Calibri"/>
          <w:color w:val="000000"/>
          <w:sz w:val="20"/>
          <w:szCs w:val="20"/>
          <w:lang w:val="en-AU"/>
        </w:rPr>
        <w:t xml:space="preserve"> on th</w:t>
      </w:r>
      <w:r w:rsidR="000054BE" w:rsidRPr="003E3D52">
        <w:rPr>
          <w:rFonts w:ascii="Calibri" w:hAnsi="Calibri"/>
          <w:color w:val="000000"/>
          <w:sz w:val="20"/>
          <w:szCs w:val="20"/>
          <w:lang w:val="en-AU"/>
        </w:rPr>
        <w:t>e</w:t>
      </w:r>
      <w:r w:rsidR="00D14F91" w:rsidRPr="003E3D52">
        <w:rPr>
          <w:rFonts w:ascii="Calibri" w:hAnsi="Calibri"/>
          <w:color w:val="000000"/>
          <w:sz w:val="20"/>
          <w:szCs w:val="20"/>
          <w:lang w:val="en-AU"/>
        </w:rPr>
        <w:t xml:space="preserve"> </w:t>
      </w:r>
      <w:hyperlink r:id="rId27" w:history="1">
        <w:r w:rsidR="00D14F91" w:rsidRPr="003E3D52">
          <w:rPr>
            <w:rStyle w:val="Hyperlink"/>
            <w:rFonts w:ascii="Calibri" w:hAnsi="Calibri"/>
            <w:bCs/>
            <w:sz w:val="20"/>
            <w:szCs w:val="20"/>
            <w:lang w:val="en-GB"/>
          </w:rPr>
          <w:t>Data for Health Initiative</w:t>
        </w:r>
      </w:hyperlink>
      <w:r w:rsidR="00D14F91" w:rsidRPr="00D14F91">
        <w:rPr>
          <w:rFonts w:ascii="Calibri" w:hAnsi="Calibri"/>
          <w:color w:val="000000"/>
          <w:sz w:val="20"/>
          <w:szCs w:val="20"/>
          <w:lang w:val="en-GB"/>
        </w:rPr>
        <w:t xml:space="preserve"> </w:t>
      </w:r>
      <w:r w:rsidR="000054BE">
        <w:rPr>
          <w:rFonts w:ascii="Calibri" w:hAnsi="Calibri"/>
          <w:color w:val="000000"/>
          <w:sz w:val="20"/>
          <w:szCs w:val="20"/>
          <w:lang w:val="en-GB"/>
        </w:rPr>
        <w:t xml:space="preserve">which operates </w:t>
      </w:r>
      <w:r w:rsidR="00D14F91" w:rsidRPr="00D14F91">
        <w:rPr>
          <w:rFonts w:ascii="Calibri" w:hAnsi="Calibri"/>
          <w:color w:val="000000"/>
          <w:sz w:val="20"/>
          <w:szCs w:val="20"/>
          <w:lang w:val="en-GB"/>
        </w:rPr>
        <w:t>in 20 countries</w:t>
      </w:r>
      <w:r w:rsidR="000054BE">
        <w:rPr>
          <w:rFonts w:ascii="Calibri" w:hAnsi="Calibri"/>
          <w:color w:val="000000"/>
          <w:sz w:val="20"/>
          <w:szCs w:val="20"/>
          <w:lang w:val="en-GB"/>
        </w:rPr>
        <w:t>, including seven in the Indo-Pacific</w:t>
      </w:r>
      <w:r>
        <w:rPr>
          <w:rFonts w:ascii="Calibri" w:hAnsi="Calibri"/>
          <w:color w:val="000000"/>
          <w:sz w:val="20"/>
          <w:szCs w:val="20"/>
          <w:lang w:val="en-GB"/>
        </w:rPr>
        <w:t>;</w:t>
      </w:r>
    </w:p>
    <w:p w14:paraId="795F4CC0" w14:textId="03DA6D9C" w:rsidR="006E3CDA" w:rsidRPr="006E3CDA" w:rsidRDefault="006E3CDA" w:rsidP="009349B6">
      <w:pPr>
        <w:pStyle w:val="ListParagraph"/>
        <w:numPr>
          <w:ilvl w:val="0"/>
          <w:numId w:val="4"/>
        </w:numPr>
        <w:spacing w:after="40" w:afterAutospacing="0"/>
        <w:jc w:val="both"/>
        <w:rPr>
          <w:rFonts w:ascii="Calibri" w:hAnsi="Calibri"/>
          <w:color w:val="000000"/>
          <w:sz w:val="20"/>
          <w:szCs w:val="20"/>
        </w:rPr>
      </w:pPr>
      <w:r>
        <w:rPr>
          <w:rFonts w:ascii="Calibri" w:hAnsi="Calibri"/>
          <w:color w:val="000000"/>
          <w:sz w:val="20"/>
          <w:szCs w:val="20"/>
          <w:lang w:val="en-AU"/>
        </w:rPr>
        <w:t xml:space="preserve">Alongside the </w:t>
      </w:r>
      <w:r w:rsidR="002E3568" w:rsidRPr="006E3CDA">
        <w:rPr>
          <w:rFonts w:ascii="Calibri" w:hAnsi="Calibri"/>
          <w:b/>
          <w:color w:val="000000"/>
          <w:sz w:val="20"/>
          <w:szCs w:val="20"/>
          <w:lang w:val="en-AU"/>
        </w:rPr>
        <w:t>Atlassian</w:t>
      </w:r>
      <w:r w:rsidRPr="006E3CDA">
        <w:rPr>
          <w:rFonts w:ascii="Calibri" w:hAnsi="Calibri"/>
          <w:b/>
          <w:color w:val="000000"/>
          <w:sz w:val="20"/>
          <w:szCs w:val="20"/>
          <w:lang w:val="en-AU"/>
        </w:rPr>
        <w:t xml:space="preserve"> Foundation</w:t>
      </w:r>
      <w:r>
        <w:rPr>
          <w:rFonts w:ascii="Calibri" w:hAnsi="Calibri"/>
          <w:color w:val="000000"/>
          <w:sz w:val="20"/>
          <w:szCs w:val="20"/>
          <w:lang w:val="en-AU"/>
        </w:rPr>
        <w:t>, co-fund</w:t>
      </w:r>
      <w:r w:rsidR="000054BE">
        <w:rPr>
          <w:rFonts w:ascii="Calibri" w:hAnsi="Calibri"/>
          <w:color w:val="000000"/>
          <w:sz w:val="20"/>
          <w:szCs w:val="20"/>
          <w:lang w:val="en-AU"/>
        </w:rPr>
        <w:t>ing</w:t>
      </w:r>
      <w:r>
        <w:rPr>
          <w:rFonts w:ascii="Calibri" w:hAnsi="Calibri"/>
          <w:color w:val="000000"/>
          <w:sz w:val="20"/>
          <w:szCs w:val="20"/>
          <w:lang w:val="en-AU"/>
        </w:rPr>
        <w:t xml:space="preserve"> </w:t>
      </w:r>
      <w:r w:rsidR="00891148">
        <w:rPr>
          <w:rFonts w:ascii="Calibri" w:hAnsi="Calibri"/>
          <w:color w:val="000000"/>
          <w:sz w:val="20"/>
          <w:szCs w:val="20"/>
          <w:lang w:val="en-AU"/>
        </w:rPr>
        <w:t>the</w:t>
      </w:r>
      <w:r w:rsidR="00983F5B">
        <w:rPr>
          <w:rFonts w:ascii="Calibri" w:hAnsi="Calibri"/>
          <w:color w:val="000000"/>
          <w:sz w:val="20"/>
          <w:szCs w:val="20"/>
          <w:lang w:val="en-AU"/>
        </w:rPr>
        <w:t xml:space="preserve"> </w:t>
      </w:r>
      <w:hyperlink r:id="rId28" w:history="1">
        <w:r w:rsidR="00983F5B" w:rsidRPr="003E3D52">
          <w:rPr>
            <w:rStyle w:val="Hyperlink"/>
            <w:rFonts w:ascii="Calibri" w:hAnsi="Calibri"/>
            <w:sz w:val="20"/>
            <w:szCs w:val="20"/>
            <w:lang w:val="en-AU"/>
          </w:rPr>
          <w:t>Youth, Skills &amp; Workfor</w:t>
        </w:r>
        <w:r w:rsidR="000054BE" w:rsidRPr="003E3D52">
          <w:rPr>
            <w:rStyle w:val="Hyperlink"/>
            <w:rFonts w:ascii="Calibri" w:hAnsi="Calibri"/>
            <w:sz w:val="20"/>
            <w:szCs w:val="20"/>
            <w:lang w:val="en-AU"/>
          </w:rPr>
          <w:t>ce Challenge</w:t>
        </w:r>
      </w:hyperlink>
      <w:r>
        <w:rPr>
          <w:rFonts w:ascii="Calibri" w:hAnsi="Calibri"/>
          <w:color w:val="000000"/>
          <w:sz w:val="20"/>
          <w:szCs w:val="20"/>
          <w:lang w:val="en-AU"/>
        </w:rPr>
        <w:t xml:space="preserve"> through the </w:t>
      </w:r>
      <w:r w:rsidRPr="006E3CDA">
        <w:rPr>
          <w:rFonts w:ascii="Calibri" w:hAnsi="Calibri"/>
          <w:b/>
          <w:color w:val="000000"/>
          <w:sz w:val="20"/>
          <w:szCs w:val="20"/>
          <w:lang w:val="en-AU"/>
        </w:rPr>
        <w:t>MIT Solve</w:t>
      </w:r>
      <w:r>
        <w:rPr>
          <w:rFonts w:ascii="Calibri" w:hAnsi="Calibri"/>
          <w:color w:val="000000"/>
          <w:sz w:val="20"/>
          <w:szCs w:val="20"/>
          <w:lang w:val="en-AU"/>
        </w:rPr>
        <w:t xml:space="preserve"> platform, which aims to </w:t>
      </w:r>
      <w:r w:rsidRPr="006E3CDA">
        <w:rPr>
          <w:rFonts w:ascii="Calibri" w:hAnsi="Calibri"/>
          <w:color w:val="000000"/>
          <w:sz w:val="20"/>
          <w:szCs w:val="20"/>
        </w:rPr>
        <w:t>prepare 10 million disadvantaged youth for the workforce of the future</w:t>
      </w:r>
      <w:r w:rsidR="006E16D7">
        <w:rPr>
          <w:rFonts w:ascii="Calibri" w:hAnsi="Calibri"/>
          <w:color w:val="000000"/>
          <w:sz w:val="20"/>
          <w:szCs w:val="20"/>
        </w:rPr>
        <w:t xml:space="preserve">; </w:t>
      </w:r>
    </w:p>
    <w:p w14:paraId="34AED4C9" w14:textId="74DC9E62" w:rsidR="006E16D7" w:rsidRPr="003051CF" w:rsidRDefault="006E16D7" w:rsidP="009349B6">
      <w:pPr>
        <w:pStyle w:val="ListParagraph"/>
        <w:numPr>
          <w:ilvl w:val="0"/>
          <w:numId w:val="4"/>
        </w:numPr>
        <w:spacing w:after="80" w:afterAutospacing="0"/>
        <w:jc w:val="both"/>
        <w:rPr>
          <w:sz w:val="20"/>
          <w:szCs w:val="20"/>
          <w:lang w:val="en-AU"/>
        </w:rPr>
      </w:pPr>
      <w:r w:rsidRPr="0090137C">
        <w:rPr>
          <w:rFonts w:ascii="Calibri" w:hAnsi="Calibri"/>
          <w:bCs/>
          <w:color w:val="000000"/>
          <w:sz w:val="20"/>
          <w:szCs w:val="20"/>
          <w:lang w:val="en-GB"/>
        </w:rPr>
        <w:t xml:space="preserve">Partnering with </w:t>
      </w:r>
      <w:r w:rsidRPr="0090137C">
        <w:rPr>
          <w:rFonts w:ascii="Calibri" w:hAnsi="Calibri"/>
          <w:b/>
          <w:bCs/>
          <w:color w:val="000000"/>
          <w:sz w:val="20"/>
          <w:szCs w:val="20"/>
          <w:lang w:val="en-GB"/>
        </w:rPr>
        <w:t>Monash University</w:t>
      </w:r>
      <w:r w:rsidRPr="0090137C">
        <w:rPr>
          <w:rFonts w:ascii="Calibri" w:hAnsi="Calibri"/>
          <w:bCs/>
          <w:color w:val="000000"/>
          <w:sz w:val="20"/>
          <w:szCs w:val="20"/>
          <w:lang w:val="en-GB"/>
        </w:rPr>
        <w:t xml:space="preserve"> on the </w:t>
      </w:r>
      <w:hyperlink r:id="rId29" w:history="1">
        <w:r w:rsidRPr="0090137C">
          <w:rPr>
            <w:rStyle w:val="Hyperlink"/>
            <w:rFonts w:ascii="Calibri" w:hAnsi="Calibri"/>
            <w:bCs/>
            <w:sz w:val="20"/>
            <w:szCs w:val="20"/>
            <w:lang w:val="en-GB"/>
          </w:rPr>
          <w:t>World Mosquito Program</w:t>
        </w:r>
      </w:hyperlink>
      <w:r w:rsidRPr="0090137C">
        <w:rPr>
          <w:rFonts w:ascii="Calibri" w:hAnsi="Calibri"/>
          <w:bCs/>
          <w:color w:val="000000"/>
          <w:sz w:val="20"/>
          <w:szCs w:val="20"/>
          <w:lang w:val="en-GB"/>
        </w:rPr>
        <w:t xml:space="preserve">, </w:t>
      </w:r>
      <w:r w:rsidRPr="0090137C">
        <w:rPr>
          <w:rFonts w:ascii="Calibri" w:hAnsi="Calibri"/>
          <w:color w:val="000000"/>
          <w:sz w:val="20"/>
          <w:szCs w:val="20"/>
          <w:lang w:val="en-GB"/>
        </w:rPr>
        <w:t xml:space="preserve">which is pioneering </w:t>
      </w:r>
      <w:r w:rsidR="00116B8D" w:rsidRPr="0090137C">
        <w:rPr>
          <w:rFonts w:ascii="Calibri" w:hAnsi="Calibri"/>
          <w:color w:val="000000"/>
          <w:sz w:val="20"/>
          <w:szCs w:val="20"/>
          <w:lang w:val="en-GB"/>
        </w:rPr>
        <w:t xml:space="preserve">the </w:t>
      </w:r>
      <w:r w:rsidRPr="0090137C">
        <w:rPr>
          <w:rFonts w:ascii="Calibri" w:hAnsi="Calibri"/>
          <w:i/>
          <w:color w:val="000000"/>
          <w:sz w:val="20"/>
          <w:szCs w:val="20"/>
          <w:lang w:val="en-GB"/>
        </w:rPr>
        <w:t>Wolbachia</w:t>
      </w:r>
      <w:r w:rsidRPr="0090137C">
        <w:rPr>
          <w:rFonts w:ascii="Calibri" w:hAnsi="Calibri"/>
          <w:color w:val="000000"/>
          <w:sz w:val="20"/>
          <w:szCs w:val="20"/>
          <w:lang w:val="en-GB"/>
        </w:rPr>
        <w:t xml:space="preserve"> </w:t>
      </w:r>
      <w:r w:rsidR="00116B8D" w:rsidRPr="0090137C">
        <w:rPr>
          <w:rFonts w:ascii="Calibri" w:hAnsi="Calibri"/>
          <w:color w:val="000000"/>
          <w:sz w:val="20"/>
          <w:szCs w:val="20"/>
          <w:lang w:val="en-GB"/>
        </w:rPr>
        <w:t xml:space="preserve">method </w:t>
      </w:r>
      <w:r w:rsidRPr="0090137C">
        <w:rPr>
          <w:rFonts w:ascii="Calibri" w:hAnsi="Calibri"/>
          <w:color w:val="000000"/>
          <w:sz w:val="20"/>
          <w:szCs w:val="20"/>
          <w:lang w:val="en-GB"/>
        </w:rPr>
        <w:t>to eliminate dengue and Zika in Sri Lanka, Fiji, Kiribati and Vanuatu</w:t>
      </w:r>
      <w:r w:rsidR="003051CF">
        <w:rPr>
          <w:rFonts w:ascii="Calibri" w:hAnsi="Calibri"/>
          <w:bCs/>
          <w:color w:val="000000"/>
          <w:sz w:val="20"/>
          <w:szCs w:val="20"/>
          <w:lang w:val="en-GB"/>
        </w:rPr>
        <w:t xml:space="preserve">; </w:t>
      </w:r>
      <w:r w:rsidR="007F0F66">
        <w:rPr>
          <w:rFonts w:ascii="Calibri" w:hAnsi="Calibri"/>
          <w:bCs/>
          <w:color w:val="000000"/>
          <w:sz w:val="20"/>
          <w:szCs w:val="20"/>
          <w:lang w:val="en-GB"/>
        </w:rPr>
        <w:t xml:space="preserve">and </w:t>
      </w:r>
    </w:p>
    <w:p w14:paraId="3AE06DFA" w14:textId="2605E68C" w:rsidR="003051CF" w:rsidRPr="003051CF" w:rsidRDefault="0033643F" w:rsidP="009349B6">
      <w:pPr>
        <w:pStyle w:val="ListParagraph"/>
        <w:numPr>
          <w:ilvl w:val="0"/>
          <w:numId w:val="4"/>
        </w:numPr>
        <w:spacing w:before="0" w:beforeAutospacing="0" w:after="80" w:afterAutospacing="0"/>
        <w:jc w:val="both"/>
        <w:rPr>
          <w:rFonts w:ascii="Calibri" w:hAnsi="Calibri"/>
          <w:color w:val="313233" w:themeColor="text1"/>
          <w:sz w:val="20"/>
          <w:szCs w:val="20"/>
          <w:lang w:val="en-AU"/>
        </w:rPr>
      </w:pPr>
      <w:r>
        <w:rPr>
          <w:rFonts w:ascii="Calibri" w:hAnsi="Calibri"/>
          <w:color w:val="313233" w:themeColor="text1"/>
          <w:sz w:val="20"/>
          <w:szCs w:val="20"/>
          <w:lang w:val="en-AU"/>
        </w:rPr>
        <w:t>Making the iXc’s</w:t>
      </w:r>
      <w:r w:rsidR="003051CF" w:rsidRPr="003051CF">
        <w:rPr>
          <w:rFonts w:ascii="Calibri" w:hAnsi="Calibri"/>
          <w:color w:val="313233" w:themeColor="text1"/>
          <w:sz w:val="20"/>
          <w:szCs w:val="20"/>
          <w:lang w:val="en-AU"/>
        </w:rPr>
        <w:t xml:space="preserve"> largest single investment in the </w:t>
      </w:r>
      <w:hyperlink r:id="rId30" w:history="1">
        <w:r w:rsidR="003051CF" w:rsidRPr="007F0F66">
          <w:rPr>
            <w:rStyle w:val="Hyperlink"/>
            <w:rFonts w:ascii="Calibri" w:hAnsi="Calibri"/>
            <w:b/>
            <w:sz w:val="20"/>
            <w:szCs w:val="20"/>
            <w:lang w:val="en-AU"/>
          </w:rPr>
          <w:t>Global Innovation Fund</w:t>
        </w:r>
      </w:hyperlink>
      <w:r w:rsidR="005D3DF4" w:rsidRPr="005D3DF4">
        <w:rPr>
          <w:rFonts w:ascii="Calibri" w:hAnsi="Calibri"/>
          <w:color w:val="313233" w:themeColor="text1"/>
          <w:sz w:val="20"/>
          <w:szCs w:val="20"/>
          <w:lang w:val="en-AU"/>
        </w:rPr>
        <w:t xml:space="preserve"> (GIF)</w:t>
      </w:r>
      <w:r w:rsidR="00E17443">
        <w:rPr>
          <w:rFonts w:ascii="Calibri" w:hAnsi="Calibri"/>
          <w:color w:val="313233" w:themeColor="text1"/>
          <w:sz w:val="20"/>
          <w:szCs w:val="20"/>
          <w:lang w:val="en-AU"/>
        </w:rPr>
        <w:t xml:space="preserve">, </w:t>
      </w:r>
      <w:r w:rsidR="003051CF" w:rsidRPr="003051CF">
        <w:rPr>
          <w:rFonts w:ascii="Calibri" w:hAnsi="Calibri"/>
          <w:color w:val="313233" w:themeColor="text1"/>
          <w:sz w:val="20"/>
          <w:szCs w:val="20"/>
          <w:lang w:val="en-AU"/>
        </w:rPr>
        <w:t>as a result influenc</w:t>
      </w:r>
      <w:r w:rsidR="005D3DF4">
        <w:rPr>
          <w:rFonts w:ascii="Calibri" w:hAnsi="Calibri"/>
          <w:color w:val="313233" w:themeColor="text1"/>
          <w:sz w:val="20"/>
          <w:szCs w:val="20"/>
          <w:lang w:val="en-AU"/>
        </w:rPr>
        <w:t>ing</w:t>
      </w:r>
      <w:r w:rsidR="003051CF" w:rsidRPr="003051CF">
        <w:rPr>
          <w:rFonts w:ascii="Calibri" w:hAnsi="Calibri"/>
          <w:color w:val="313233" w:themeColor="text1"/>
          <w:sz w:val="20"/>
          <w:szCs w:val="20"/>
          <w:lang w:val="en-AU"/>
        </w:rPr>
        <w:t xml:space="preserve"> the spread of </w:t>
      </w:r>
      <w:r w:rsidR="005D3DF4">
        <w:rPr>
          <w:rFonts w:ascii="Calibri" w:hAnsi="Calibri"/>
          <w:color w:val="313233" w:themeColor="text1"/>
          <w:sz w:val="20"/>
          <w:szCs w:val="20"/>
          <w:lang w:val="en-AU"/>
        </w:rPr>
        <w:t>GIF’s</w:t>
      </w:r>
      <w:r w:rsidR="003051CF" w:rsidRPr="003051CF">
        <w:rPr>
          <w:rFonts w:ascii="Calibri" w:hAnsi="Calibri"/>
          <w:color w:val="313233" w:themeColor="text1"/>
          <w:sz w:val="20"/>
          <w:szCs w:val="20"/>
          <w:lang w:val="en-AU"/>
        </w:rPr>
        <w:t xml:space="preserve"> portfolio to include support for more innovators in the Asia-Pacific region. </w:t>
      </w:r>
    </w:p>
    <w:p w14:paraId="7C97ADA1" w14:textId="669DE2D6" w:rsidR="00073CF5" w:rsidRPr="00423101" w:rsidRDefault="00F30D67" w:rsidP="001F2786">
      <w:pPr>
        <w:jc w:val="both"/>
        <w:rPr>
          <w:lang w:val="en-AU"/>
        </w:rPr>
      </w:pPr>
      <w:r w:rsidRPr="009D32C8">
        <w:rPr>
          <w:sz w:val="20"/>
          <w:szCs w:val="20"/>
          <w:lang w:val="en-AU"/>
        </w:rPr>
        <w:t xml:space="preserve">The </w:t>
      </w:r>
      <w:r w:rsidR="004A3665">
        <w:rPr>
          <w:sz w:val="20"/>
          <w:szCs w:val="20"/>
          <w:lang w:val="en-AU"/>
        </w:rPr>
        <w:t xml:space="preserve">typical </w:t>
      </w:r>
      <w:r w:rsidRPr="009D32C8">
        <w:rPr>
          <w:sz w:val="20"/>
          <w:szCs w:val="20"/>
          <w:lang w:val="en-AU"/>
        </w:rPr>
        <w:t>iXc</w:t>
      </w:r>
      <w:r w:rsidR="004A3665">
        <w:rPr>
          <w:sz w:val="20"/>
          <w:szCs w:val="20"/>
          <w:lang w:val="en-AU"/>
        </w:rPr>
        <w:t>-partner engagement lasted around two years</w:t>
      </w:r>
      <w:r w:rsidRPr="009D32C8">
        <w:rPr>
          <w:sz w:val="20"/>
          <w:szCs w:val="20"/>
          <w:lang w:val="en-AU"/>
        </w:rPr>
        <w:t xml:space="preserve">. </w:t>
      </w:r>
      <w:r w:rsidR="00073CF5" w:rsidRPr="009D32C8">
        <w:rPr>
          <w:sz w:val="20"/>
          <w:szCs w:val="20"/>
          <w:lang w:val="en-AU"/>
        </w:rPr>
        <w:t xml:space="preserve">Overall, the iXc was seen </w:t>
      </w:r>
      <w:r w:rsidR="00E71ABE">
        <w:rPr>
          <w:sz w:val="20"/>
          <w:szCs w:val="20"/>
          <w:lang w:val="en-AU"/>
        </w:rPr>
        <w:t xml:space="preserve">by external partners to be </w:t>
      </w:r>
      <w:r w:rsidR="00073CF5">
        <w:rPr>
          <w:sz w:val="20"/>
          <w:szCs w:val="20"/>
          <w:lang w:val="en-AU"/>
        </w:rPr>
        <w:t xml:space="preserve">solutions-oriented, </w:t>
      </w:r>
      <w:r w:rsidR="00073CF5" w:rsidRPr="009D32C8">
        <w:rPr>
          <w:sz w:val="20"/>
          <w:szCs w:val="20"/>
          <w:lang w:val="en-AU"/>
        </w:rPr>
        <w:t xml:space="preserve">responsive and </w:t>
      </w:r>
      <w:r w:rsidR="009D6744">
        <w:rPr>
          <w:sz w:val="20"/>
          <w:szCs w:val="20"/>
          <w:lang w:val="en-AU"/>
        </w:rPr>
        <w:t xml:space="preserve">a </w:t>
      </w:r>
      <w:r w:rsidR="00073CF5" w:rsidRPr="009D32C8">
        <w:rPr>
          <w:sz w:val="20"/>
          <w:szCs w:val="20"/>
          <w:lang w:val="en-AU"/>
        </w:rPr>
        <w:t>strong thought partner</w:t>
      </w:r>
      <w:r w:rsidR="004A3665">
        <w:rPr>
          <w:sz w:val="20"/>
          <w:szCs w:val="20"/>
          <w:lang w:val="en-AU"/>
        </w:rPr>
        <w:t xml:space="preserve">, and iXc </w:t>
      </w:r>
      <w:r w:rsidR="006D0EB8">
        <w:rPr>
          <w:sz w:val="20"/>
          <w:szCs w:val="20"/>
          <w:lang w:val="en-AU"/>
        </w:rPr>
        <w:t>staff were</w:t>
      </w:r>
      <w:r w:rsidR="004A3665">
        <w:rPr>
          <w:sz w:val="20"/>
          <w:szCs w:val="20"/>
          <w:lang w:val="en-AU"/>
        </w:rPr>
        <w:t xml:space="preserve"> typically</w:t>
      </w:r>
      <w:r w:rsidR="00073CF5">
        <w:rPr>
          <w:sz w:val="20"/>
          <w:szCs w:val="20"/>
          <w:lang w:val="en-AU"/>
        </w:rPr>
        <w:t xml:space="preserve"> </w:t>
      </w:r>
      <w:r w:rsidR="00073CF5" w:rsidRPr="009D32C8">
        <w:rPr>
          <w:sz w:val="20"/>
          <w:szCs w:val="20"/>
          <w:lang w:val="en-AU"/>
        </w:rPr>
        <w:t xml:space="preserve">enthusiastic about </w:t>
      </w:r>
      <w:r w:rsidR="00073CF5">
        <w:rPr>
          <w:sz w:val="20"/>
          <w:szCs w:val="20"/>
          <w:lang w:val="en-AU"/>
        </w:rPr>
        <w:t>their</w:t>
      </w:r>
      <w:r w:rsidR="00073CF5" w:rsidRPr="009D32C8">
        <w:rPr>
          <w:sz w:val="20"/>
          <w:szCs w:val="20"/>
          <w:lang w:val="en-AU"/>
        </w:rPr>
        <w:t xml:space="preserve"> objectives</w:t>
      </w:r>
      <w:r w:rsidR="004A3665">
        <w:rPr>
          <w:sz w:val="20"/>
          <w:szCs w:val="20"/>
          <w:lang w:val="en-AU"/>
        </w:rPr>
        <w:t>.</w:t>
      </w:r>
      <w:r w:rsidR="00073CF5" w:rsidRPr="009D32C8">
        <w:rPr>
          <w:sz w:val="20"/>
          <w:szCs w:val="20"/>
          <w:lang w:val="en-AU"/>
        </w:rPr>
        <w:t xml:space="preserve"> </w:t>
      </w:r>
      <w:r w:rsidR="004A3665">
        <w:rPr>
          <w:sz w:val="20"/>
          <w:szCs w:val="20"/>
          <w:lang w:val="en-AU"/>
        </w:rPr>
        <w:t>They also</w:t>
      </w:r>
      <w:r w:rsidR="004A3665" w:rsidRPr="009D32C8">
        <w:rPr>
          <w:sz w:val="20"/>
          <w:szCs w:val="20"/>
          <w:lang w:val="en-AU"/>
        </w:rPr>
        <w:t xml:space="preserve"> </w:t>
      </w:r>
      <w:r w:rsidR="00073CF5">
        <w:rPr>
          <w:sz w:val="20"/>
          <w:szCs w:val="20"/>
          <w:lang w:val="en-AU"/>
        </w:rPr>
        <w:t xml:space="preserve">noted that the </w:t>
      </w:r>
      <w:r w:rsidR="004A3665">
        <w:rPr>
          <w:sz w:val="20"/>
          <w:szCs w:val="20"/>
          <w:lang w:val="en-AU"/>
        </w:rPr>
        <w:t xml:space="preserve">iXc </w:t>
      </w:r>
      <w:r w:rsidR="00721AF6">
        <w:rPr>
          <w:sz w:val="20"/>
          <w:szCs w:val="20"/>
          <w:lang w:val="en-AU"/>
        </w:rPr>
        <w:t>team</w:t>
      </w:r>
      <w:r w:rsidR="00073CF5">
        <w:rPr>
          <w:sz w:val="20"/>
          <w:szCs w:val="20"/>
          <w:lang w:val="en-AU"/>
        </w:rPr>
        <w:t xml:space="preserve"> </w:t>
      </w:r>
      <w:r w:rsidR="004A3665">
        <w:rPr>
          <w:sz w:val="20"/>
          <w:szCs w:val="20"/>
          <w:lang w:val="en-AU"/>
        </w:rPr>
        <w:t>was characteri</w:t>
      </w:r>
      <w:r w:rsidR="009D6744">
        <w:rPr>
          <w:sz w:val="20"/>
          <w:szCs w:val="20"/>
          <w:lang w:val="en-AU"/>
        </w:rPr>
        <w:t>z</w:t>
      </w:r>
      <w:r w:rsidR="004A3665">
        <w:rPr>
          <w:sz w:val="20"/>
          <w:szCs w:val="20"/>
          <w:lang w:val="en-AU"/>
        </w:rPr>
        <w:t xml:space="preserve">ed by a </w:t>
      </w:r>
      <w:r w:rsidR="00073CF5" w:rsidRPr="009D32C8">
        <w:rPr>
          <w:sz w:val="20"/>
          <w:szCs w:val="20"/>
          <w:lang w:val="en-AU"/>
        </w:rPr>
        <w:t xml:space="preserve">good </w:t>
      </w:r>
      <w:r w:rsidR="00A06718" w:rsidRPr="009D32C8">
        <w:rPr>
          <w:sz w:val="20"/>
          <w:szCs w:val="20"/>
          <w:lang w:val="en-AU"/>
        </w:rPr>
        <w:t>management</w:t>
      </w:r>
      <w:r w:rsidR="00A06718">
        <w:rPr>
          <w:sz w:val="20"/>
          <w:szCs w:val="20"/>
          <w:lang w:val="en-AU"/>
        </w:rPr>
        <w:t xml:space="preserve"> </w:t>
      </w:r>
      <w:r w:rsidR="004A3665">
        <w:rPr>
          <w:sz w:val="20"/>
          <w:szCs w:val="20"/>
          <w:lang w:val="en-AU"/>
        </w:rPr>
        <w:t>style</w:t>
      </w:r>
      <w:r w:rsidR="00073CF5" w:rsidRPr="009D32C8">
        <w:rPr>
          <w:sz w:val="20"/>
          <w:szCs w:val="20"/>
          <w:lang w:val="en-AU"/>
        </w:rPr>
        <w:t xml:space="preserve">, ease of grant administration and a clear mandate from the Minister for Foreign Affairs. </w:t>
      </w:r>
    </w:p>
    <w:p w14:paraId="215AC938" w14:textId="672B8F07" w:rsidR="00073CF5" w:rsidRPr="00073CF5" w:rsidRDefault="00073CF5" w:rsidP="001F2786">
      <w:pPr>
        <w:pStyle w:val="Quote"/>
        <w:rPr>
          <w:color w:val="007B88" w:themeColor="accent1" w:themeShade="BF"/>
          <w:sz w:val="20"/>
          <w:szCs w:val="20"/>
          <w:lang w:val="en-AU"/>
        </w:rPr>
      </w:pPr>
      <w:r w:rsidRPr="00650BD7">
        <w:rPr>
          <w:color w:val="007B88" w:themeColor="accent1" w:themeShade="BF"/>
          <w:sz w:val="20"/>
          <w:szCs w:val="20"/>
          <w:lang w:val="en-AU"/>
        </w:rPr>
        <w:t>External partners rated the</w:t>
      </w:r>
      <w:r>
        <w:rPr>
          <w:color w:val="007B88" w:themeColor="accent1" w:themeShade="BF"/>
          <w:sz w:val="20"/>
          <w:szCs w:val="20"/>
          <w:lang w:val="en-AU"/>
        </w:rPr>
        <w:t xml:space="preserve"> success of their </w:t>
      </w:r>
      <w:r w:rsidRPr="00650BD7">
        <w:rPr>
          <w:color w:val="007B88" w:themeColor="accent1" w:themeShade="BF"/>
          <w:sz w:val="20"/>
          <w:szCs w:val="20"/>
          <w:lang w:val="en-AU"/>
        </w:rPr>
        <w:t>partnership</w:t>
      </w:r>
      <w:r>
        <w:rPr>
          <w:color w:val="007B88" w:themeColor="accent1" w:themeShade="BF"/>
          <w:sz w:val="20"/>
          <w:szCs w:val="20"/>
          <w:lang w:val="en-AU"/>
        </w:rPr>
        <w:t>s</w:t>
      </w:r>
      <w:r w:rsidRPr="00650BD7">
        <w:rPr>
          <w:color w:val="007B88" w:themeColor="accent1" w:themeShade="BF"/>
          <w:sz w:val="20"/>
          <w:szCs w:val="20"/>
          <w:lang w:val="en-AU"/>
        </w:rPr>
        <w:t xml:space="preserve"> with the iXc as 4 out of 5 </w:t>
      </w:r>
      <w:r w:rsidR="00AF534D">
        <w:rPr>
          <w:color w:val="007B88" w:themeColor="accent1" w:themeShade="BF"/>
          <w:sz w:val="20"/>
          <w:szCs w:val="20"/>
          <w:lang w:val="en-AU"/>
        </w:rPr>
        <w:t xml:space="preserve">             </w:t>
      </w:r>
      <w:r w:rsidR="00EF7224">
        <w:rPr>
          <w:color w:val="007B88" w:themeColor="accent1" w:themeShade="BF"/>
          <w:sz w:val="20"/>
          <w:szCs w:val="20"/>
          <w:lang w:val="en-AU"/>
        </w:rPr>
        <w:t xml:space="preserve">    </w:t>
      </w:r>
      <w:r w:rsidRPr="00650BD7">
        <w:rPr>
          <w:color w:val="007B88" w:themeColor="accent1" w:themeShade="BF"/>
          <w:sz w:val="20"/>
          <w:szCs w:val="20"/>
          <w:lang w:val="en-AU"/>
        </w:rPr>
        <w:t>(</w:t>
      </w:r>
      <w:r>
        <w:rPr>
          <w:color w:val="007B88" w:themeColor="accent1" w:themeShade="BF"/>
          <w:sz w:val="20"/>
          <w:szCs w:val="20"/>
          <w:lang w:val="en-AU"/>
        </w:rPr>
        <w:t xml:space="preserve">on a scale of </w:t>
      </w:r>
      <w:r w:rsidRPr="00650BD7">
        <w:rPr>
          <w:color w:val="007B88" w:themeColor="accent1" w:themeShade="BF"/>
          <w:sz w:val="20"/>
          <w:szCs w:val="20"/>
          <w:lang w:val="en-AU"/>
        </w:rPr>
        <w:t>1</w:t>
      </w:r>
      <w:r w:rsidR="004A3665">
        <w:rPr>
          <w:color w:val="007B88" w:themeColor="accent1" w:themeShade="BF"/>
          <w:sz w:val="20"/>
          <w:szCs w:val="20"/>
          <w:lang w:val="en-AU"/>
        </w:rPr>
        <w:t xml:space="preserve"> being</w:t>
      </w:r>
      <w:r>
        <w:rPr>
          <w:color w:val="007B88" w:themeColor="accent1" w:themeShade="BF"/>
          <w:sz w:val="20"/>
          <w:szCs w:val="20"/>
          <w:lang w:val="en-AU"/>
        </w:rPr>
        <w:t xml:space="preserve"> </w:t>
      </w:r>
      <w:r w:rsidRPr="00650BD7">
        <w:rPr>
          <w:color w:val="007B88" w:themeColor="accent1" w:themeShade="BF"/>
          <w:sz w:val="20"/>
          <w:szCs w:val="20"/>
          <w:lang w:val="en-AU"/>
        </w:rPr>
        <w:t>least successful</w:t>
      </w:r>
      <w:r w:rsidR="00AF534D">
        <w:rPr>
          <w:color w:val="007B88" w:themeColor="accent1" w:themeShade="BF"/>
          <w:sz w:val="20"/>
          <w:szCs w:val="20"/>
          <w:lang w:val="en-AU"/>
        </w:rPr>
        <w:t>,</w:t>
      </w:r>
      <w:r w:rsidRPr="00650BD7">
        <w:rPr>
          <w:color w:val="007B88" w:themeColor="accent1" w:themeShade="BF"/>
          <w:sz w:val="20"/>
          <w:szCs w:val="20"/>
          <w:lang w:val="en-AU"/>
        </w:rPr>
        <w:t xml:space="preserve"> to 5</w:t>
      </w:r>
      <w:r w:rsidR="004A3665">
        <w:rPr>
          <w:color w:val="007B88" w:themeColor="accent1" w:themeShade="BF"/>
          <w:sz w:val="20"/>
          <w:szCs w:val="20"/>
          <w:lang w:val="en-AU"/>
        </w:rPr>
        <w:t xml:space="preserve"> </w:t>
      </w:r>
      <w:r w:rsidR="00A06718">
        <w:rPr>
          <w:color w:val="007B88" w:themeColor="accent1" w:themeShade="BF"/>
          <w:sz w:val="20"/>
          <w:szCs w:val="20"/>
          <w:lang w:val="en-AU"/>
        </w:rPr>
        <w:t>being</w:t>
      </w:r>
      <w:r>
        <w:rPr>
          <w:color w:val="007B88" w:themeColor="accent1" w:themeShade="BF"/>
          <w:sz w:val="20"/>
          <w:szCs w:val="20"/>
          <w:lang w:val="en-AU"/>
        </w:rPr>
        <w:t xml:space="preserve"> </w:t>
      </w:r>
      <w:r w:rsidRPr="00650BD7">
        <w:rPr>
          <w:color w:val="007B88" w:themeColor="accent1" w:themeShade="BF"/>
          <w:sz w:val="20"/>
          <w:szCs w:val="20"/>
          <w:lang w:val="en-AU"/>
        </w:rPr>
        <w:t>most successful)</w:t>
      </w:r>
    </w:p>
    <w:p w14:paraId="275864C4" w14:textId="6D7DA370" w:rsidR="00E23470" w:rsidRPr="00F63C2B" w:rsidRDefault="00DD35A7" w:rsidP="001F2786">
      <w:pPr>
        <w:spacing w:after="80"/>
        <w:jc w:val="both"/>
        <w:rPr>
          <w:sz w:val="20"/>
          <w:szCs w:val="20"/>
          <w:lang w:val="en-AU"/>
        </w:rPr>
      </w:pPr>
      <w:r>
        <w:rPr>
          <w:sz w:val="20"/>
          <w:szCs w:val="20"/>
          <w:lang w:val="en-AU"/>
        </w:rPr>
        <w:t xml:space="preserve">A </w:t>
      </w:r>
      <w:r w:rsidR="009E1DAA">
        <w:rPr>
          <w:sz w:val="20"/>
          <w:szCs w:val="20"/>
          <w:lang w:val="en-AU"/>
        </w:rPr>
        <w:t>number</w:t>
      </w:r>
      <w:r>
        <w:rPr>
          <w:sz w:val="20"/>
          <w:szCs w:val="20"/>
          <w:lang w:val="en-AU"/>
        </w:rPr>
        <w:t xml:space="preserve"> of external partners interviewed </w:t>
      </w:r>
      <w:r w:rsidR="00F30D67" w:rsidRPr="009D32C8">
        <w:rPr>
          <w:sz w:val="20"/>
          <w:szCs w:val="20"/>
          <w:lang w:val="en-AU"/>
        </w:rPr>
        <w:t>reported increased strategic alignment</w:t>
      </w:r>
      <w:r w:rsidR="009E1DAA">
        <w:rPr>
          <w:sz w:val="20"/>
          <w:szCs w:val="20"/>
          <w:lang w:val="en-AU"/>
        </w:rPr>
        <w:t xml:space="preserve"> with the iXc over time</w:t>
      </w:r>
      <w:r w:rsidR="00701A5C">
        <w:rPr>
          <w:sz w:val="20"/>
          <w:szCs w:val="20"/>
          <w:lang w:val="en-AU"/>
        </w:rPr>
        <w:t xml:space="preserve">, </w:t>
      </w:r>
      <w:r w:rsidR="00E23470">
        <w:rPr>
          <w:sz w:val="20"/>
          <w:szCs w:val="20"/>
          <w:lang w:val="en-AU"/>
        </w:rPr>
        <w:t xml:space="preserve">and some noted that they had </w:t>
      </w:r>
      <w:r w:rsidR="00721AF6">
        <w:rPr>
          <w:sz w:val="20"/>
          <w:szCs w:val="20"/>
          <w:lang w:val="en-AU"/>
        </w:rPr>
        <w:t>begun</w:t>
      </w:r>
      <w:r w:rsidR="00E23470">
        <w:rPr>
          <w:sz w:val="20"/>
          <w:szCs w:val="20"/>
          <w:lang w:val="en-AU"/>
        </w:rPr>
        <w:t xml:space="preserve"> proactively </w:t>
      </w:r>
      <w:r w:rsidR="00701A5C">
        <w:rPr>
          <w:sz w:val="20"/>
          <w:szCs w:val="20"/>
          <w:lang w:val="en-AU"/>
        </w:rPr>
        <w:t>factoring DFAT’s priorities into their investment strategies</w:t>
      </w:r>
      <w:r w:rsidR="00BA3FCC">
        <w:rPr>
          <w:sz w:val="20"/>
          <w:szCs w:val="20"/>
          <w:lang w:val="en-AU"/>
        </w:rPr>
        <w:t xml:space="preserve"> and focus areas.</w:t>
      </w:r>
      <w:r w:rsidR="00F63C2B">
        <w:rPr>
          <w:sz w:val="20"/>
          <w:szCs w:val="20"/>
          <w:lang w:val="en-AU"/>
        </w:rPr>
        <w:t xml:space="preserve"> </w:t>
      </w:r>
      <w:r w:rsidR="00A05583">
        <w:rPr>
          <w:sz w:val="20"/>
          <w:szCs w:val="20"/>
          <w:lang w:val="en-AU"/>
        </w:rPr>
        <w:t>At the same time, i</w:t>
      </w:r>
      <w:r w:rsidR="00AF534D">
        <w:rPr>
          <w:sz w:val="20"/>
          <w:szCs w:val="20"/>
          <w:lang w:val="en-AU"/>
        </w:rPr>
        <w:t>n terms of challenges,</w:t>
      </w:r>
      <w:r w:rsidR="00073CF5" w:rsidRPr="009D32C8">
        <w:rPr>
          <w:sz w:val="20"/>
          <w:szCs w:val="20"/>
          <w:lang w:val="en-AU"/>
        </w:rPr>
        <w:t xml:space="preserve"> partners identified largely logistical </w:t>
      </w:r>
      <w:r w:rsidR="00721AF6">
        <w:rPr>
          <w:sz w:val="20"/>
          <w:szCs w:val="20"/>
          <w:lang w:val="en-AU"/>
        </w:rPr>
        <w:t>issues</w:t>
      </w:r>
      <w:r w:rsidR="00073CF5" w:rsidRPr="009D32C8">
        <w:rPr>
          <w:sz w:val="20"/>
          <w:szCs w:val="20"/>
          <w:lang w:val="en-AU"/>
        </w:rPr>
        <w:t xml:space="preserve"> when dealing with the iXc, noting: </w:t>
      </w:r>
      <w:r w:rsidR="00721AF6">
        <w:rPr>
          <w:sz w:val="20"/>
          <w:szCs w:val="20"/>
          <w:lang w:val="en-AU"/>
        </w:rPr>
        <w:t>i</w:t>
      </w:r>
      <w:r w:rsidR="00073CF5" w:rsidRPr="009D32C8">
        <w:rPr>
          <w:sz w:val="20"/>
          <w:szCs w:val="20"/>
          <w:lang w:val="en-AU"/>
        </w:rPr>
        <w:t xml:space="preserve">) staff were stretched thin and not able to devote too much time to one partnership, </w:t>
      </w:r>
      <w:r w:rsidR="00721AF6">
        <w:rPr>
          <w:sz w:val="20"/>
          <w:szCs w:val="20"/>
          <w:lang w:val="en-AU"/>
        </w:rPr>
        <w:t>ii</w:t>
      </w:r>
      <w:r w:rsidR="00073CF5" w:rsidRPr="009D32C8">
        <w:rPr>
          <w:sz w:val="20"/>
          <w:szCs w:val="20"/>
          <w:lang w:val="en-AU"/>
        </w:rPr>
        <w:t xml:space="preserve">) difficulty in managing time zones which often makes regular communication or travel difficult; and </w:t>
      </w:r>
      <w:r w:rsidR="00721AF6">
        <w:rPr>
          <w:sz w:val="20"/>
          <w:szCs w:val="20"/>
          <w:lang w:val="en-AU"/>
        </w:rPr>
        <w:t>iii)</w:t>
      </w:r>
      <w:r w:rsidR="00073CF5" w:rsidRPr="009D32C8">
        <w:rPr>
          <w:sz w:val="20"/>
          <w:szCs w:val="20"/>
          <w:lang w:val="en-AU"/>
        </w:rPr>
        <w:t xml:space="preserve"> difficulty in solidifying </w:t>
      </w:r>
      <w:r w:rsidR="004A3665">
        <w:rPr>
          <w:sz w:val="20"/>
          <w:szCs w:val="20"/>
          <w:lang w:val="en-AU"/>
        </w:rPr>
        <w:t xml:space="preserve">the </w:t>
      </w:r>
      <w:r w:rsidR="00073CF5" w:rsidRPr="009D32C8">
        <w:rPr>
          <w:sz w:val="20"/>
          <w:szCs w:val="20"/>
          <w:lang w:val="en-AU"/>
        </w:rPr>
        <w:t xml:space="preserve">commitments </w:t>
      </w:r>
      <w:r w:rsidR="004A3665">
        <w:rPr>
          <w:sz w:val="20"/>
          <w:szCs w:val="20"/>
          <w:lang w:val="en-AU"/>
        </w:rPr>
        <w:t xml:space="preserve">made </w:t>
      </w:r>
      <w:r w:rsidR="00073CF5" w:rsidRPr="009D32C8">
        <w:rPr>
          <w:sz w:val="20"/>
          <w:szCs w:val="20"/>
          <w:lang w:val="en-AU"/>
        </w:rPr>
        <w:t>in conversations with iXc team members.</w:t>
      </w:r>
    </w:p>
    <w:p w14:paraId="6C509B13" w14:textId="7BE659A9" w:rsidR="009173C9" w:rsidRPr="00D23D8D" w:rsidRDefault="004A3665" w:rsidP="001F2786">
      <w:pPr>
        <w:spacing w:after="80"/>
        <w:jc w:val="both"/>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T</w:t>
      </w:r>
      <w:r w:rsidR="009173C9">
        <w:rPr>
          <w:rFonts w:ascii="Calibri" w:eastAsia="Times New Roman" w:hAnsi="Calibri" w:cs="Times New Roman"/>
          <w:color w:val="000000"/>
          <w:sz w:val="20"/>
          <w:szCs w:val="20"/>
          <w:lang w:val="en-AU"/>
        </w:rPr>
        <w:t xml:space="preserve">he iXc </w:t>
      </w:r>
      <w:r>
        <w:rPr>
          <w:rFonts w:ascii="Calibri" w:eastAsia="Times New Roman" w:hAnsi="Calibri" w:cs="Times New Roman"/>
          <w:color w:val="000000"/>
          <w:sz w:val="20"/>
          <w:szCs w:val="20"/>
          <w:lang w:val="en-AU"/>
        </w:rPr>
        <w:t xml:space="preserve">clearly </w:t>
      </w:r>
      <w:r w:rsidR="009173C9">
        <w:rPr>
          <w:rFonts w:ascii="Calibri" w:eastAsia="Times New Roman" w:hAnsi="Calibri" w:cs="Times New Roman"/>
          <w:color w:val="000000"/>
          <w:sz w:val="20"/>
          <w:szCs w:val="20"/>
          <w:lang w:val="en-AU"/>
        </w:rPr>
        <w:t xml:space="preserve">benefitted substantially from </w:t>
      </w:r>
      <w:r>
        <w:rPr>
          <w:rFonts w:ascii="Calibri" w:eastAsia="Times New Roman" w:hAnsi="Calibri" w:cs="Times New Roman"/>
          <w:color w:val="000000"/>
          <w:sz w:val="20"/>
          <w:szCs w:val="20"/>
          <w:lang w:val="en-AU"/>
        </w:rPr>
        <w:t xml:space="preserve">these </w:t>
      </w:r>
      <w:r w:rsidR="009173C9">
        <w:rPr>
          <w:rFonts w:ascii="Calibri" w:eastAsia="Times New Roman" w:hAnsi="Calibri" w:cs="Times New Roman"/>
          <w:color w:val="000000"/>
          <w:sz w:val="20"/>
          <w:szCs w:val="20"/>
          <w:lang w:val="en-AU"/>
        </w:rPr>
        <w:t>external partnerships</w:t>
      </w:r>
      <w:r w:rsidR="00F63C2B">
        <w:rPr>
          <w:rFonts w:ascii="Calibri" w:eastAsia="Times New Roman" w:hAnsi="Calibri" w:cs="Times New Roman"/>
          <w:color w:val="000000"/>
          <w:sz w:val="20"/>
          <w:szCs w:val="20"/>
          <w:lang w:val="en-AU"/>
        </w:rPr>
        <w:t>. C</w:t>
      </w:r>
      <w:r w:rsidR="009173C9">
        <w:rPr>
          <w:rFonts w:ascii="Calibri" w:eastAsia="Times New Roman" w:hAnsi="Calibri" w:cs="Times New Roman"/>
          <w:color w:val="000000"/>
          <w:sz w:val="20"/>
          <w:szCs w:val="20"/>
          <w:lang w:val="en-AU"/>
        </w:rPr>
        <w:t>ollaborations with large, multi-national companies proved particularly effective in raising the profile of innovation within DFAT</w:t>
      </w:r>
      <w:r w:rsidR="00ED7B8E">
        <w:rPr>
          <w:rFonts w:ascii="Calibri" w:eastAsia="Times New Roman" w:hAnsi="Calibri" w:cs="Times New Roman"/>
          <w:color w:val="000000"/>
          <w:sz w:val="20"/>
          <w:szCs w:val="20"/>
          <w:lang w:val="en-AU"/>
        </w:rPr>
        <w:t xml:space="preserve"> and with other external funders and organizations</w:t>
      </w:r>
      <w:r w:rsidR="009173C9">
        <w:rPr>
          <w:rFonts w:ascii="Calibri" w:eastAsia="Times New Roman" w:hAnsi="Calibri" w:cs="Times New Roman"/>
          <w:color w:val="000000"/>
          <w:sz w:val="20"/>
          <w:szCs w:val="20"/>
          <w:lang w:val="en-AU"/>
        </w:rPr>
        <w:t xml:space="preserve">. External </w:t>
      </w:r>
      <w:r w:rsidR="009173C9" w:rsidRPr="009D32C8">
        <w:rPr>
          <w:rFonts w:ascii="Calibri" w:eastAsia="Times New Roman" w:hAnsi="Calibri" w:cs="Times New Roman"/>
          <w:color w:val="000000"/>
          <w:sz w:val="20"/>
          <w:szCs w:val="20"/>
          <w:lang w:val="en-AU"/>
        </w:rPr>
        <w:t xml:space="preserve">partners believed their added value to the iXc </w:t>
      </w:r>
      <w:r>
        <w:rPr>
          <w:rFonts w:ascii="Calibri" w:eastAsia="Times New Roman" w:hAnsi="Calibri" w:cs="Times New Roman"/>
          <w:color w:val="000000"/>
          <w:sz w:val="20"/>
          <w:szCs w:val="20"/>
          <w:lang w:val="en-AU"/>
        </w:rPr>
        <w:t>lay in</w:t>
      </w:r>
      <w:r w:rsidRPr="009D32C8">
        <w:rPr>
          <w:rFonts w:ascii="Calibri" w:eastAsia="Times New Roman" w:hAnsi="Calibri" w:cs="Times New Roman"/>
          <w:color w:val="000000"/>
          <w:sz w:val="20"/>
          <w:szCs w:val="20"/>
          <w:lang w:val="en-AU"/>
        </w:rPr>
        <w:t xml:space="preserve"> </w:t>
      </w:r>
      <w:r w:rsidR="009173C9" w:rsidRPr="009D32C8">
        <w:rPr>
          <w:rFonts w:ascii="Calibri" w:eastAsia="Times New Roman" w:hAnsi="Calibri" w:cs="Times New Roman"/>
          <w:color w:val="000000"/>
          <w:sz w:val="20"/>
          <w:szCs w:val="20"/>
          <w:lang w:val="en-AU"/>
        </w:rPr>
        <w:t>thought partnership</w:t>
      </w:r>
      <w:r>
        <w:rPr>
          <w:rFonts w:ascii="Calibri" w:eastAsia="Times New Roman" w:hAnsi="Calibri" w:cs="Times New Roman"/>
          <w:color w:val="000000"/>
          <w:sz w:val="20"/>
          <w:szCs w:val="20"/>
          <w:lang w:val="en-AU"/>
        </w:rPr>
        <w:t xml:space="preserve"> and</w:t>
      </w:r>
      <w:r w:rsidR="009173C9" w:rsidRPr="009D32C8">
        <w:rPr>
          <w:rFonts w:ascii="Calibri" w:eastAsia="Times New Roman" w:hAnsi="Calibri" w:cs="Times New Roman"/>
          <w:color w:val="000000"/>
          <w:sz w:val="20"/>
          <w:szCs w:val="20"/>
          <w:lang w:val="en-AU"/>
        </w:rPr>
        <w:t xml:space="preserve"> access to private sector</w:t>
      </w:r>
      <w:r>
        <w:rPr>
          <w:rFonts w:ascii="Calibri" w:eastAsia="Times New Roman" w:hAnsi="Calibri" w:cs="Times New Roman"/>
          <w:color w:val="000000"/>
          <w:sz w:val="20"/>
          <w:szCs w:val="20"/>
          <w:lang w:val="en-AU"/>
        </w:rPr>
        <w:t xml:space="preserve"> </w:t>
      </w:r>
      <w:r w:rsidR="009173C9">
        <w:rPr>
          <w:rFonts w:ascii="Calibri" w:eastAsia="Times New Roman" w:hAnsi="Calibri" w:cs="Times New Roman"/>
          <w:color w:val="000000"/>
          <w:sz w:val="20"/>
          <w:szCs w:val="20"/>
          <w:lang w:val="en-AU"/>
        </w:rPr>
        <w:t xml:space="preserve">experience and </w:t>
      </w:r>
      <w:r w:rsidR="009173C9" w:rsidRPr="009D32C8">
        <w:rPr>
          <w:rFonts w:ascii="Calibri" w:eastAsia="Times New Roman" w:hAnsi="Calibri" w:cs="Times New Roman"/>
          <w:color w:val="000000"/>
          <w:sz w:val="20"/>
          <w:szCs w:val="20"/>
          <w:lang w:val="en-AU"/>
        </w:rPr>
        <w:t xml:space="preserve">technical </w:t>
      </w:r>
      <w:r w:rsidR="009173C9">
        <w:rPr>
          <w:rFonts w:ascii="Calibri" w:eastAsia="Times New Roman" w:hAnsi="Calibri" w:cs="Times New Roman"/>
          <w:color w:val="000000"/>
          <w:sz w:val="20"/>
          <w:szCs w:val="20"/>
          <w:lang w:val="en-AU"/>
        </w:rPr>
        <w:t xml:space="preserve">expertise, </w:t>
      </w:r>
      <w:r w:rsidR="009173C9" w:rsidRPr="009D32C8">
        <w:rPr>
          <w:rFonts w:ascii="Calibri" w:eastAsia="Times New Roman" w:hAnsi="Calibri" w:cs="Times New Roman"/>
          <w:color w:val="000000"/>
          <w:sz w:val="20"/>
          <w:szCs w:val="20"/>
          <w:lang w:val="en-AU"/>
        </w:rPr>
        <w:t>specifically around program management, investment strategies and monitoring and evaluation</w:t>
      </w:r>
      <w:r w:rsidR="009173C9">
        <w:rPr>
          <w:rFonts w:ascii="Calibri" w:eastAsia="Times New Roman" w:hAnsi="Calibri" w:cs="Times New Roman"/>
          <w:color w:val="000000"/>
          <w:sz w:val="20"/>
          <w:szCs w:val="20"/>
          <w:lang w:val="en-AU"/>
        </w:rPr>
        <w:t>.</w:t>
      </w:r>
    </w:p>
    <w:p w14:paraId="6B5A0F60" w14:textId="02CA14DA" w:rsidR="009173C9" w:rsidRPr="00AF534D" w:rsidRDefault="009173C9" w:rsidP="00F95899">
      <w:pPr>
        <w:pStyle w:val="Quote"/>
        <w:rPr>
          <w:color w:val="007B88" w:themeColor="accent1" w:themeShade="BF"/>
          <w:sz w:val="20"/>
          <w:szCs w:val="20"/>
          <w:lang w:val="en-AU"/>
        </w:rPr>
      </w:pPr>
      <w:r w:rsidRPr="00AF534D">
        <w:rPr>
          <w:color w:val="007B88" w:themeColor="accent1" w:themeShade="BF"/>
          <w:sz w:val="20"/>
          <w:szCs w:val="20"/>
          <w:lang w:val="en-AU"/>
        </w:rPr>
        <w:t xml:space="preserve">“I hope they felt they were able to start halfway around the track by standing on our shoulders and learning from our mistakes." </w:t>
      </w:r>
      <w:r w:rsidR="008A6393" w:rsidRPr="003038AC">
        <w:rPr>
          <w:i w:val="0"/>
          <w:color w:val="007B88" w:themeColor="accent1" w:themeShade="BF"/>
          <w:sz w:val="20"/>
          <w:szCs w:val="20"/>
          <w:lang w:val="en-AU"/>
        </w:rPr>
        <w:t>– External partner</w:t>
      </w:r>
    </w:p>
    <w:p w14:paraId="3B300B78" w14:textId="1C28D0AA" w:rsidR="00310FB7" w:rsidRPr="005D2A95" w:rsidRDefault="005D2A95" w:rsidP="003A714B">
      <w:pPr>
        <w:spacing w:after="80" w:line="259" w:lineRule="auto"/>
        <w:jc w:val="both"/>
        <w:rPr>
          <w:rFonts w:ascii="Calibri" w:hAnsi="Calibri"/>
          <w:color w:val="313233" w:themeColor="text1"/>
          <w:sz w:val="20"/>
          <w:szCs w:val="20"/>
          <w:lang w:val="en-AU"/>
        </w:rPr>
      </w:pPr>
      <w:r w:rsidRPr="005640D5">
        <w:rPr>
          <w:rFonts w:ascii="Calibri" w:hAnsi="Calibri"/>
          <w:color w:val="313233" w:themeColor="text1"/>
          <w:sz w:val="20"/>
          <w:szCs w:val="20"/>
          <w:lang w:val="en-AU"/>
        </w:rPr>
        <w:t xml:space="preserve">These external partnerships provided channels for the iXc to engage </w:t>
      </w:r>
      <w:r w:rsidR="00B111B2" w:rsidRPr="005640D5">
        <w:rPr>
          <w:rFonts w:ascii="Calibri" w:hAnsi="Calibri"/>
          <w:color w:val="313233" w:themeColor="text1"/>
          <w:sz w:val="20"/>
          <w:szCs w:val="20"/>
          <w:lang w:val="en-AU"/>
        </w:rPr>
        <w:t>in a range of different contexts</w:t>
      </w:r>
      <w:r w:rsidR="003A714B" w:rsidRPr="005640D5">
        <w:rPr>
          <w:rFonts w:ascii="Calibri" w:hAnsi="Calibri"/>
          <w:color w:val="313233" w:themeColor="text1"/>
          <w:sz w:val="20"/>
          <w:szCs w:val="20"/>
          <w:lang w:val="en-AU"/>
        </w:rPr>
        <w:t xml:space="preserve"> and countries, and many were successful in catalyzing additional funding in support of programming goals. The iXc reports leveraging nearly $60</w:t>
      </w:r>
      <w:r w:rsidR="00A03FA0">
        <w:rPr>
          <w:rFonts w:ascii="Calibri" w:hAnsi="Calibri"/>
          <w:color w:val="313233" w:themeColor="text1"/>
          <w:sz w:val="20"/>
          <w:szCs w:val="20"/>
          <w:lang w:val="en-AU"/>
        </w:rPr>
        <w:t>m</w:t>
      </w:r>
      <w:r w:rsidR="003A714B" w:rsidRPr="005640D5">
        <w:rPr>
          <w:rFonts w:ascii="Calibri" w:hAnsi="Calibri"/>
          <w:color w:val="313233" w:themeColor="text1"/>
          <w:sz w:val="20"/>
          <w:szCs w:val="20"/>
          <w:lang w:val="en-AU"/>
        </w:rPr>
        <w:t xml:space="preserve"> in co-funding</w:t>
      </w:r>
      <w:r w:rsidR="003A714B" w:rsidRPr="005640D5">
        <w:rPr>
          <w:rStyle w:val="FootnoteReference"/>
          <w:rFonts w:ascii="Calibri" w:hAnsi="Calibri"/>
          <w:color w:val="313233" w:themeColor="text1"/>
          <w:sz w:val="20"/>
          <w:szCs w:val="20"/>
          <w:lang w:val="en-AU"/>
        </w:rPr>
        <w:footnoteReference w:id="13"/>
      </w:r>
      <w:r w:rsidR="003A714B" w:rsidRPr="005640D5">
        <w:rPr>
          <w:rFonts w:ascii="Calibri" w:hAnsi="Calibri"/>
          <w:color w:val="313233" w:themeColor="text1"/>
          <w:sz w:val="20"/>
          <w:szCs w:val="20"/>
          <w:lang w:val="en-AU"/>
        </w:rPr>
        <w:t xml:space="preserve"> for the Asia-Pacific region, plus unquantifiable in-kind contributions of expertise and time (e.g. from Atlassian volunteer staff). Examples of funding leveraged that have contributed to this </w:t>
      </w:r>
      <w:r w:rsidR="003A714B" w:rsidRPr="003A714B">
        <w:rPr>
          <w:rFonts w:ascii="Calibri" w:hAnsi="Calibri"/>
          <w:color w:val="313233" w:themeColor="text1"/>
          <w:sz w:val="20"/>
          <w:szCs w:val="20"/>
          <w:lang w:val="en-AU"/>
        </w:rPr>
        <w:t xml:space="preserve">total include </w:t>
      </w:r>
      <w:r w:rsidR="003A714B" w:rsidRPr="00564D74">
        <w:rPr>
          <w:rFonts w:ascii="Calibri" w:hAnsi="Calibri"/>
          <w:color w:val="313233" w:themeColor="text1"/>
          <w:sz w:val="20"/>
          <w:szCs w:val="20"/>
          <w:lang w:val="en-AU"/>
        </w:rPr>
        <w:t xml:space="preserve">Bloomberg, </w:t>
      </w:r>
      <w:hyperlink r:id="rId31" w:history="1">
        <w:r w:rsidR="003A714B" w:rsidRPr="00564D74">
          <w:rPr>
            <w:rStyle w:val="Hyperlink"/>
            <w:rFonts w:ascii="Calibri" w:hAnsi="Calibri"/>
            <w:sz w:val="20"/>
            <w:szCs w:val="20"/>
            <w:lang w:val="en-AU"/>
          </w:rPr>
          <w:t>XPRIZE</w:t>
        </w:r>
      </w:hyperlink>
      <w:r w:rsidR="003A714B" w:rsidRPr="00564D74">
        <w:rPr>
          <w:rFonts w:ascii="Calibri" w:hAnsi="Calibri"/>
          <w:color w:val="313233" w:themeColor="text1"/>
          <w:sz w:val="20"/>
          <w:szCs w:val="20"/>
          <w:lang w:val="en-AU"/>
        </w:rPr>
        <w:t>, and</w:t>
      </w:r>
      <w:r w:rsidR="003A714B" w:rsidRPr="003A714B">
        <w:rPr>
          <w:rFonts w:ascii="Calibri" w:hAnsi="Calibri"/>
          <w:color w:val="313233" w:themeColor="text1"/>
          <w:sz w:val="20"/>
          <w:szCs w:val="20"/>
          <w:lang w:val="en-AU"/>
        </w:rPr>
        <w:t xml:space="preserve"> the Humanitarian</w:t>
      </w:r>
      <w:r w:rsidR="0038611F">
        <w:rPr>
          <w:rFonts w:ascii="Calibri" w:hAnsi="Calibri"/>
          <w:color w:val="313233" w:themeColor="text1"/>
          <w:sz w:val="20"/>
          <w:szCs w:val="20"/>
          <w:lang w:val="en-AU"/>
        </w:rPr>
        <w:t>, NGOs</w:t>
      </w:r>
      <w:r w:rsidR="003A714B" w:rsidRPr="003A714B">
        <w:rPr>
          <w:rFonts w:ascii="Calibri" w:hAnsi="Calibri"/>
          <w:color w:val="313233" w:themeColor="text1"/>
          <w:sz w:val="20"/>
          <w:szCs w:val="20"/>
          <w:lang w:val="en-AU"/>
        </w:rPr>
        <w:t xml:space="preserve"> </w:t>
      </w:r>
      <w:r w:rsidR="0038611F">
        <w:rPr>
          <w:rFonts w:ascii="Calibri" w:hAnsi="Calibri"/>
          <w:color w:val="313233" w:themeColor="text1"/>
          <w:sz w:val="20"/>
          <w:szCs w:val="20"/>
          <w:lang w:val="en-AU"/>
        </w:rPr>
        <w:t xml:space="preserve">and Partnerships </w:t>
      </w:r>
      <w:r w:rsidR="003A714B" w:rsidRPr="003A714B">
        <w:rPr>
          <w:rFonts w:ascii="Calibri" w:hAnsi="Calibri"/>
          <w:color w:val="313233" w:themeColor="text1"/>
          <w:sz w:val="20"/>
          <w:szCs w:val="20"/>
          <w:lang w:val="en-AU"/>
        </w:rPr>
        <w:t>Division.</w:t>
      </w:r>
      <w:r w:rsidR="003A714B">
        <w:rPr>
          <w:rFonts w:ascii="Calibri" w:hAnsi="Calibri"/>
          <w:color w:val="313233" w:themeColor="text1"/>
          <w:sz w:val="20"/>
          <w:szCs w:val="20"/>
          <w:lang w:val="en-AU"/>
        </w:rPr>
        <w:t xml:space="preserve"> </w:t>
      </w:r>
    </w:p>
    <w:p w14:paraId="6AF5E01C" w14:textId="0FFD289D" w:rsidR="00FC314B" w:rsidRDefault="003A714B" w:rsidP="001F2786">
      <w:pPr>
        <w:spacing w:after="80" w:line="259" w:lineRule="auto"/>
        <w:jc w:val="both"/>
        <w:rPr>
          <w:rFonts w:ascii="Calibri" w:hAnsi="Calibri"/>
          <w:color w:val="313233" w:themeColor="text1"/>
          <w:sz w:val="20"/>
          <w:szCs w:val="20"/>
          <w:lang w:val="en-AU"/>
        </w:rPr>
      </w:pPr>
      <w:r w:rsidRPr="003A714B">
        <w:rPr>
          <w:rFonts w:ascii="Calibri" w:hAnsi="Calibri"/>
          <w:color w:val="313233" w:themeColor="text1"/>
          <w:sz w:val="20"/>
          <w:szCs w:val="20"/>
          <w:lang w:val="en-AU"/>
        </w:rPr>
        <w:lastRenderedPageBreak/>
        <w:t>Although</w:t>
      </w:r>
      <w:r>
        <w:rPr>
          <w:rFonts w:ascii="Calibri" w:hAnsi="Calibri"/>
          <w:color w:val="313233" w:themeColor="text1"/>
          <w:sz w:val="20"/>
          <w:szCs w:val="20"/>
          <w:lang w:val="en-AU"/>
        </w:rPr>
        <w:t xml:space="preserve"> beyond the scope of this analysis, it appears that these partnerships may have also been catalytic in advancing the sustainability of innovations. </w:t>
      </w:r>
      <w:r w:rsidR="009871C9">
        <w:rPr>
          <w:rFonts w:ascii="Calibri" w:hAnsi="Calibri"/>
          <w:color w:val="313233" w:themeColor="text1"/>
          <w:sz w:val="20"/>
          <w:szCs w:val="20"/>
          <w:lang w:val="en-AU"/>
        </w:rPr>
        <w:t xml:space="preserve">For example, the iXc’s support for the </w:t>
      </w:r>
      <w:hyperlink r:id="rId32" w:history="1">
        <w:r w:rsidR="009871C9" w:rsidRPr="000C6A41">
          <w:rPr>
            <w:rStyle w:val="Hyperlink"/>
            <w:rFonts w:ascii="Calibri" w:hAnsi="Calibri"/>
            <w:sz w:val="20"/>
            <w:szCs w:val="20"/>
            <w:lang w:val="en-AU"/>
          </w:rPr>
          <w:t>World Mosquito Program</w:t>
        </w:r>
      </w:hyperlink>
      <w:r w:rsidR="009871C9">
        <w:rPr>
          <w:rFonts w:ascii="Calibri" w:hAnsi="Calibri"/>
          <w:color w:val="313233" w:themeColor="text1"/>
          <w:sz w:val="20"/>
          <w:szCs w:val="20"/>
          <w:lang w:val="en-AU"/>
        </w:rPr>
        <w:t xml:space="preserve"> </w:t>
      </w:r>
      <w:r w:rsidR="00997369">
        <w:rPr>
          <w:rFonts w:ascii="Calibri" w:hAnsi="Calibri"/>
          <w:color w:val="313233" w:themeColor="text1"/>
          <w:sz w:val="20"/>
          <w:szCs w:val="20"/>
          <w:lang w:val="en-AU"/>
        </w:rPr>
        <w:t xml:space="preserve">helped to </w:t>
      </w:r>
      <w:r w:rsidR="008E7F4F">
        <w:rPr>
          <w:rFonts w:ascii="Calibri" w:hAnsi="Calibri"/>
          <w:color w:val="313233" w:themeColor="text1"/>
          <w:sz w:val="20"/>
          <w:szCs w:val="20"/>
          <w:lang w:val="en-AU"/>
        </w:rPr>
        <w:t>‘</w:t>
      </w:r>
      <w:r w:rsidR="00997369">
        <w:rPr>
          <w:rFonts w:ascii="Calibri" w:hAnsi="Calibri"/>
          <w:color w:val="313233" w:themeColor="text1"/>
          <w:sz w:val="20"/>
          <w:szCs w:val="20"/>
          <w:lang w:val="en-AU"/>
        </w:rPr>
        <w:t>de-risk</w:t>
      </w:r>
      <w:r w:rsidR="008E7F4F">
        <w:rPr>
          <w:rFonts w:ascii="Calibri" w:hAnsi="Calibri"/>
          <w:color w:val="313233" w:themeColor="text1"/>
          <w:sz w:val="20"/>
          <w:szCs w:val="20"/>
          <w:lang w:val="en-AU"/>
        </w:rPr>
        <w:t>’</w:t>
      </w:r>
      <w:r w:rsidR="00997369">
        <w:rPr>
          <w:rFonts w:ascii="Calibri" w:hAnsi="Calibri"/>
          <w:color w:val="313233" w:themeColor="text1"/>
          <w:sz w:val="20"/>
          <w:szCs w:val="20"/>
          <w:lang w:val="en-AU"/>
        </w:rPr>
        <w:t xml:space="preserve"> this initiative in the eyes of other funders, who subsequently invested over $50</w:t>
      </w:r>
      <w:r w:rsidR="005E4BAF">
        <w:rPr>
          <w:rFonts w:ascii="Calibri" w:hAnsi="Calibri"/>
          <w:color w:val="313233" w:themeColor="text1"/>
          <w:sz w:val="20"/>
          <w:szCs w:val="20"/>
          <w:lang w:val="en-AU"/>
        </w:rPr>
        <w:t>m</w:t>
      </w:r>
      <w:r w:rsidR="00997369">
        <w:rPr>
          <w:rFonts w:ascii="Calibri" w:hAnsi="Calibri"/>
          <w:color w:val="313233" w:themeColor="text1"/>
          <w:sz w:val="20"/>
          <w:szCs w:val="20"/>
          <w:lang w:val="en-AU"/>
        </w:rPr>
        <w:t xml:space="preserve"> of additional funds. </w:t>
      </w:r>
      <w:r w:rsidR="00C443B3">
        <w:rPr>
          <w:rFonts w:ascii="Calibri" w:hAnsi="Calibri"/>
          <w:color w:val="313233" w:themeColor="text1"/>
          <w:sz w:val="20"/>
          <w:szCs w:val="20"/>
          <w:lang w:val="en-AU"/>
        </w:rPr>
        <w:t xml:space="preserve">The </w:t>
      </w:r>
      <w:r w:rsidR="00D22305">
        <w:rPr>
          <w:rFonts w:ascii="Calibri" w:hAnsi="Calibri"/>
          <w:color w:val="313233" w:themeColor="text1"/>
          <w:sz w:val="20"/>
          <w:szCs w:val="20"/>
          <w:lang w:val="en-AU"/>
        </w:rPr>
        <w:t>iXc</w:t>
      </w:r>
      <w:r w:rsidR="00966F7E">
        <w:rPr>
          <w:rFonts w:ascii="Calibri" w:hAnsi="Calibri"/>
          <w:color w:val="313233" w:themeColor="text1"/>
          <w:sz w:val="20"/>
          <w:szCs w:val="20"/>
          <w:lang w:val="en-AU"/>
        </w:rPr>
        <w:t>’s direct involvement</w:t>
      </w:r>
      <w:r w:rsidR="0039599A">
        <w:rPr>
          <w:rFonts w:ascii="Calibri" w:hAnsi="Calibri"/>
          <w:color w:val="313233" w:themeColor="text1"/>
          <w:sz w:val="20"/>
          <w:szCs w:val="20"/>
          <w:lang w:val="en-AU"/>
        </w:rPr>
        <w:t xml:space="preserve"> in</w:t>
      </w:r>
      <w:r w:rsidR="00C443B3">
        <w:rPr>
          <w:rFonts w:ascii="Calibri" w:hAnsi="Calibri"/>
          <w:color w:val="313233" w:themeColor="text1"/>
          <w:sz w:val="20"/>
          <w:szCs w:val="20"/>
          <w:lang w:val="en-AU"/>
        </w:rPr>
        <w:t xml:space="preserve"> programs </w:t>
      </w:r>
      <w:r w:rsidR="00966F7E">
        <w:rPr>
          <w:rFonts w:ascii="Calibri" w:hAnsi="Calibri"/>
          <w:color w:val="313233" w:themeColor="text1"/>
          <w:sz w:val="20"/>
          <w:szCs w:val="20"/>
          <w:lang w:val="en-AU"/>
        </w:rPr>
        <w:t>such as</w:t>
      </w:r>
      <w:r w:rsidR="00C443B3">
        <w:rPr>
          <w:rFonts w:ascii="Calibri" w:hAnsi="Calibri"/>
          <w:color w:val="313233" w:themeColor="text1"/>
          <w:sz w:val="20"/>
          <w:szCs w:val="20"/>
          <w:lang w:val="en-AU"/>
        </w:rPr>
        <w:t xml:space="preserve"> </w:t>
      </w:r>
      <w:hyperlink r:id="rId33" w:history="1">
        <w:r w:rsidR="00C443B3" w:rsidRPr="00393085">
          <w:rPr>
            <w:rStyle w:val="Hyperlink"/>
            <w:rFonts w:ascii="Calibri" w:hAnsi="Calibri"/>
            <w:sz w:val="20"/>
            <w:szCs w:val="20"/>
            <w:lang w:val="en-AU"/>
          </w:rPr>
          <w:t>LAUNCH Food</w:t>
        </w:r>
      </w:hyperlink>
      <w:r w:rsidR="00C443B3">
        <w:rPr>
          <w:rFonts w:ascii="Calibri" w:hAnsi="Calibri"/>
          <w:color w:val="313233" w:themeColor="text1"/>
          <w:sz w:val="20"/>
          <w:szCs w:val="20"/>
          <w:lang w:val="en-AU"/>
        </w:rPr>
        <w:t xml:space="preserve"> also</w:t>
      </w:r>
      <w:r w:rsidR="00966F7E">
        <w:rPr>
          <w:rFonts w:ascii="Calibri" w:hAnsi="Calibri"/>
          <w:color w:val="313233" w:themeColor="text1"/>
          <w:sz w:val="20"/>
          <w:szCs w:val="20"/>
          <w:lang w:val="en-AU"/>
        </w:rPr>
        <w:t xml:space="preserve"> assisted in raising the profile of</w:t>
      </w:r>
      <w:r w:rsidR="00D22305">
        <w:rPr>
          <w:rFonts w:ascii="Calibri" w:hAnsi="Calibri"/>
          <w:color w:val="313233" w:themeColor="text1"/>
          <w:sz w:val="20"/>
          <w:szCs w:val="20"/>
          <w:lang w:val="en-AU"/>
        </w:rPr>
        <w:t xml:space="preserve"> innovators </w:t>
      </w:r>
      <w:r w:rsidR="00966F7E">
        <w:rPr>
          <w:rFonts w:ascii="Calibri" w:hAnsi="Calibri"/>
          <w:color w:val="313233" w:themeColor="text1"/>
          <w:sz w:val="20"/>
          <w:szCs w:val="20"/>
          <w:lang w:val="en-AU"/>
        </w:rPr>
        <w:t>and enabled them</w:t>
      </w:r>
      <w:r w:rsidR="0039599A">
        <w:rPr>
          <w:rFonts w:ascii="Calibri" w:hAnsi="Calibri"/>
          <w:color w:val="313233" w:themeColor="text1"/>
          <w:sz w:val="20"/>
          <w:szCs w:val="20"/>
          <w:lang w:val="en-AU"/>
        </w:rPr>
        <w:t xml:space="preserve"> </w:t>
      </w:r>
      <w:r w:rsidR="00966F7E">
        <w:rPr>
          <w:rFonts w:ascii="Calibri" w:hAnsi="Calibri"/>
          <w:color w:val="313233" w:themeColor="text1"/>
          <w:sz w:val="20"/>
          <w:szCs w:val="20"/>
          <w:lang w:val="en-AU"/>
        </w:rPr>
        <w:t>to</w:t>
      </w:r>
      <w:r w:rsidR="00C443B3">
        <w:rPr>
          <w:rFonts w:ascii="Calibri" w:hAnsi="Calibri"/>
          <w:color w:val="313233" w:themeColor="text1"/>
          <w:sz w:val="20"/>
          <w:szCs w:val="20"/>
          <w:lang w:val="en-AU"/>
        </w:rPr>
        <w:t xml:space="preserve"> attract further support beyond that provided by the iXc. </w:t>
      </w:r>
    </w:p>
    <w:p w14:paraId="00A06E04" w14:textId="77777777" w:rsidR="001A72B5" w:rsidRPr="00F32558" w:rsidRDefault="001E2B1A" w:rsidP="001F2786">
      <w:pPr>
        <w:spacing w:after="80" w:line="259" w:lineRule="auto"/>
        <w:jc w:val="both"/>
        <w:rPr>
          <w:rFonts w:ascii="Calibri" w:hAnsi="Calibri"/>
          <w:color w:val="000000"/>
          <w:sz w:val="20"/>
          <w:szCs w:val="20"/>
          <w:lang w:val="en-AU"/>
        </w:rPr>
      </w:pPr>
      <w:r w:rsidRPr="00F32558">
        <w:rPr>
          <w:b/>
          <w:color w:val="00A6B6" w:themeColor="accent1"/>
          <w:sz w:val="20"/>
          <w:szCs w:val="20"/>
        </w:rPr>
        <w:t>Recommendations:</w:t>
      </w:r>
      <w:r w:rsidRPr="00F32558">
        <w:rPr>
          <w:color w:val="00A6B6" w:themeColor="accent1"/>
          <w:sz w:val="20"/>
          <w:szCs w:val="20"/>
        </w:rPr>
        <w:t xml:space="preserve"> </w:t>
      </w:r>
      <w:r w:rsidR="007E4A72" w:rsidRPr="00F32558">
        <w:rPr>
          <w:rFonts w:ascii="Calibri" w:hAnsi="Calibri"/>
          <w:color w:val="000000"/>
          <w:sz w:val="20"/>
          <w:szCs w:val="20"/>
          <w:lang w:val="en-AU"/>
        </w:rPr>
        <w:t>External</w:t>
      </w:r>
      <w:r w:rsidR="007E4A72" w:rsidRPr="00F32558">
        <w:rPr>
          <w:color w:val="00A6B6" w:themeColor="accent1"/>
          <w:sz w:val="20"/>
          <w:szCs w:val="20"/>
        </w:rPr>
        <w:t xml:space="preserve"> </w:t>
      </w:r>
      <w:r w:rsidR="007E4A72" w:rsidRPr="00F32558">
        <w:rPr>
          <w:rFonts w:ascii="Calibri" w:hAnsi="Calibri"/>
          <w:color w:val="000000"/>
          <w:sz w:val="20"/>
          <w:szCs w:val="20"/>
          <w:lang w:val="en-AU"/>
        </w:rPr>
        <w:t>p</w:t>
      </w:r>
      <w:r w:rsidR="00073CF5" w:rsidRPr="00F32558">
        <w:rPr>
          <w:rFonts w:ascii="Calibri" w:hAnsi="Calibri"/>
          <w:color w:val="000000"/>
          <w:sz w:val="20"/>
          <w:szCs w:val="20"/>
          <w:lang w:val="en-AU"/>
        </w:rPr>
        <w:t>artnerships were</w:t>
      </w:r>
      <w:r w:rsidR="004A3665" w:rsidRPr="00F32558">
        <w:rPr>
          <w:rFonts w:ascii="Calibri" w:hAnsi="Calibri"/>
          <w:color w:val="000000"/>
          <w:sz w:val="20"/>
          <w:szCs w:val="20"/>
          <w:lang w:val="en-AU"/>
        </w:rPr>
        <w:t xml:space="preserve"> </w:t>
      </w:r>
      <w:r w:rsidR="00073CF5" w:rsidRPr="00F32558">
        <w:rPr>
          <w:rFonts w:ascii="Calibri" w:hAnsi="Calibri"/>
          <w:color w:val="000000"/>
          <w:sz w:val="20"/>
          <w:szCs w:val="20"/>
          <w:lang w:val="en-AU"/>
        </w:rPr>
        <w:t xml:space="preserve">one of the most successful aspects of the first three years of the iXc and should continue to be a key component of the Innovation Strategy. </w:t>
      </w:r>
      <w:r w:rsidR="004A3665" w:rsidRPr="00F32558">
        <w:rPr>
          <w:rFonts w:ascii="Calibri" w:hAnsi="Calibri"/>
          <w:color w:val="000000"/>
          <w:sz w:val="20"/>
          <w:szCs w:val="20"/>
          <w:lang w:val="en-AU"/>
        </w:rPr>
        <w:t>Key areas for continued strengthening include</w:t>
      </w:r>
      <w:r w:rsidR="001A72B5" w:rsidRPr="00F32558">
        <w:rPr>
          <w:rFonts w:ascii="Calibri" w:hAnsi="Calibri"/>
          <w:color w:val="000000"/>
          <w:sz w:val="20"/>
          <w:szCs w:val="20"/>
          <w:lang w:val="en-AU"/>
        </w:rPr>
        <w:t>:</w:t>
      </w:r>
    </w:p>
    <w:p w14:paraId="490F6266" w14:textId="4A0F43BB" w:rsidR="001A72B5" w:rsidRPr="00F32558" w:rsidRDefault="001A72B5" w:rsidP="009349B6">
      <w:pPr>
        <w:pStyle w:val="ListParagraph"/>
        <w:numPr>
          <w:ilvl w:val="0"/>
          <w:numId w:val="15"/>
        </w:numPr>
        <w:spacing w:before="0" w:beforeAutospacing="0" w:line="259" w:lineRule="auto"/>
        <w:jc w:val="both"/>
        <w:rPr>
          <w:rFonts w:ascii="Calibri" w:hAnsi="Calibri"/>
          <w:color w:val="000000"/>
          <w:sz w:val="20"/>
          <w:szCs w:val="20"/>
          <w:lang w:val="en-AU"/>
        </w:rPr>
      </w:pPr>
      <w:r w:rsidRPr="00F32558">
        <w:rPr>
          <w:rFonts w:ascii="Calibri" w:hAnsi="Calibri"/>
          <w:b/>
          <w:color w:val="000000"/>
          <w:sz w:val="20"/>
          <w:szCs w:val="20"/>
          <w:lang w:val="en-AU"/>
        </w:rPr>
        <w:t>A</w:t>
      </w:r>
      <w:r w:rsidR="000349C6" w:rsidRPr="00F32558">
        <w:rPr>
          <w:rFonts w:ascii="Calibri" w:hAnsi="Calibri"/>
          <w:b/>
          <w:color w:val="000000"/>
          <w:sz w:val="20"/>
          <w:szCs w:val="20"/>
          <w:lang w:val="en-AU"/>
        </w:rPr>
        <w:t>ligning goals</w:t>
      </w:r>
      <w:r w:rsidR="00D96AD5" w:rsidRPr="00F32558">
        <w:rPr>
          <w:rFonts w:ascii="Calibri" w:hAnsi="Calibri"/>
          <w:b/>
          <w:color w:val="000000"/>
          <w:sz w:val="20"/>
          <w:szCs w:val="20"/>
          <w:lang w:val="en-AU"/>
        </w:rPr>
        <w:t xml:space="preserve"> </w:t>
      </w:r>
      <w:r w:rsidR="000349C6" w:rsidRPr="00F32558">
        <w:rPr>
          <w:rFonts w:ascii="Calibri" w:hAnsi="Calibri"/>
          <w:b/>
          <w:color w:val="000000"/>
          <w:sz w:val="20"/>
          <w:szCs w:val="20"/>
          <w:lang w:val="en-AU"/>
        </w:rPr>
        <w:t>early on</w:t>
      </w:r>
      <w:r w:rsidR="00D96AD5" w:rsidRPr="00F32558">
        <w:rPr>
          <w:rFonts w:ascii="Calibri" w:hAnsi="Calibri"/>
          <w:color w:val="000000"/>
          <w:sz w:val="20"/>
          <w:szCs w:val="20"/>
          <w:lang w:val="en-AU"/>
        </w:rPr>
        <w:t xml:space="preserve">; </w:t>
      </w:r>
      <w:r w:rsidR="000349C6" w:rsidRPr="00F32558">
        <w:rPr>
          <w:rFonts w:ascii="Calibri" w:hAnsi="Calibri"/>
          <w:color w:val="000000"/>
          <w:sz w:val="20"/>
          <w:szCs w:val="20"/>
          <w:lang w:val="en-AU"/>
        </w:rPr>
        <w:t xml:space="preserve">clearly defining the scope/focus of the partnership in terms of </w:t>
      </w:r>
      <w:r w:rsidR="00A250C8" w:rsidRPr="00F32558">
        <w:rPr>
          <w:rFonts w:ascii="Calibri" w:hAnsi="Calibri"/>
          <w:color w:val="000000"/>
          <w:sz w:val="20"/>
          <w:szCs w:val="20"/>
          <w:lang w:val="en-AU"/>
        </w:rPr>
        <w:t xml:space="preserve">development </w:t>
      </w:r>
      <w:r w:rsidR="000349C6" w:rsidRPr="00F32558">
        <w:rPr>
          <w:rFonts w:ascii="Calibri" w:hAnsi="Calibri"/>
          <w:color w:val="000000"/>
          <w:sz w:val="20"/>
          <w:szCs w:val="20"/>
          <w:lang w:val="en-AU"/>
        </w:rPr>
        <w:t>impact</w:t>
      </w:r>
      <w:r w:rsidR="004A3665" w:rsidRPr="00F32558">
        <w:rPr>
          <w:rFonts w:ascii="Calibri" w:hAnsi="Calibri"/>
          <w:color w:val="000000"/>
          <w:sz w:val="20"/>
          <w:szCs w:val="20"/>
          <w:lang w:val="en-AU"/>
        </w:rPr>
        <w:t>;</w:t>
      </w:r>
      <w:r w:rsidR="00A250C8" w:rsidRPr="00F32558">
        <w:rPr>
          <w:rFonts w:ascii="Calibri" w:hAnsi="Calibri"/>
          <w:color w:val="000000"/>
          <w:sz w:val="20"/>
          <w:szCs w:val="20"/>
          <w:lang w:val="en-AU"/>
        </w:rPr>
        <w:t xml:space="preserve"> </w:t>
      </w:r>
      <w:r w:rsidR="000349C6" w:rsidRPr="00F32558">
        <w:rPr>
          <w:rFonts w:ascii="Calibri" w:hAnsi="Calibri"/>
          <w:color w:val="000000"/>
          <w:sz w:val="20"/>
          <w:szCs w:val="20"/>
          <w:lang w:val="en-AU"/>
        </w:rPr>
        <w:t xml:space="preserve">and </w:t>
      </w:r>
      <w:r w:rsidR="000349C6" w:rsidRPr="00F32558">
        <w:rPr>
          <w:rFonts w:ascii="Calibri" w:hAnsi="Calibri"/>
          <w:b/>
          <w:color w:val="313233" w:themeColor="text1"/>
          <w:sz w:val="20"/>
          <w:szCs w:val="20"/>
          <w:lang w:val="en-AU"/>
        </w:rPr>
        <w:t>a</w:t>
      </w:r>
      <w:r w:rsidR="00073CF5" w:rsidRPr="00F32558">
        <w:rPr>
          <w:rFonts w:ascii="Calibri" w:hAnsi="Calibri"/>
          <w:b/>
          <w:color w:val="313233" w:themeColor="text1"/>
          <w:sz w:val="20"/>
          <w:szCs w:val="20"/>
          <w:lang w:val="en-AU"/>
        </w:rPr>
        <w:t xml:space="preserve">llocating dedicated </w:t>
      </w:r>
      <w:r w:rsidR="000349C6" w:rsidRPr="00F32558">
        <w:rPr>
          <w:rFonts w:ascii="Calibri" w:hAnsi="Calibri"/>
          <w:b/>
          <w:color w:val="313233" w:themeColor="text1"/>
          <w:sz w:val="20"/>
          <w:szCs w:val="20"/>
          <w:lang w:val="en-AU"/>
        </w:rPr>
        <w:t>resources (individuals</w:t>
      </w:r>
      <w:r w:rsidR="00073CF5" w:rsidRPr="00F32558">
        <w:rPr>
          <w:rFonts w:ascii="Calibri" w:hAnsi="Calibri"/>
          <w:b/>
          <w:color w:val="313233" w:themeColor="text1"/>
          <w:sz w:val="20"/>
          <w:szCs w:val="20"/>
          <w:lang w:val="en-AU"/>
        </w:rPr>
        <w:t>, budget and time</w:t>
      </w:r>
      <w:r w:rsidR="000349C6" w:rsidRPr="00F32558">
        <w:rPr>
          <w:rFonts w:ascii="Calibri" w:hAnsi="Calibri"/>
          <w:b/>
          <w:color w:val="313233" w:themeColor="text1"/>
          <w:sz w:val="20"/>
          <w:szCs w:val="20"/>
          <w:lang w:val="en-AU"/>
        </w:rPr>
        <w:t>)</w:t>
      </w:r>
      <w:r w:rsidR="00073CF5" w:rsidRPr="00F32558">
        <w:rPr>
          <w:rFonts w:ascii="Calibri" w:hAnsi="Calibri"/>
          <w:b/>
          <w:color w:val="313233" w:themeColor="text1"/>
          <w:sz w:val="20"/>
          <w:szCs w:val="20"/>
          <w:lang w:val="en-AU"/>
        </w:rPr>
        <w:t xml:space="preserve"> to manage </w:t>
      </w:r>
      <w:r w:rsidR="00E02588" w:rsidRPr="00F32558">
        <w:rPr>
          <w:rFonts w:ascii="Calibri" w:hAnsi="Calibri"/>
          <w:b/>
          <w:color w:val="313233" w:themeColor="text1"/>
          <w:sz w:val="20"/>
          <w:szCs w:val="20"/>
          <w:lang w:val="en-AU"/>
        </w:rPr>
        <w:t>the relationships</w:t>
      </w:r>
      <w:r w:rsidR="00ED7B8E" w:rsidRPr="00F32558">
        <w:rPr>
          <w:rFonts w:ascii="Calibri" w:hAnsi="Calibri"/>
          <w:color w:val="313233" w:themeColor="text1"/>
          <w:sz w:val="20"/>
          <w:szCs w:val="20"/>
          <w:lang w:val="en-AU"/>
        </w:rPr>
        <w:t>, which</w:t>
      </w:r>
      <w:r w:rsidR="00073CF5" w:rsidRPr="00F32558">
        <w:rPr>
          <w:rFonts w:ascii="Calibri" w:hAnsi="Calibri"/>
          <w:color w:val="313233" w:themeColor="text1"/>
          <w:sz w:val="20"/>
          <w:szCs w:val="20"/>
          <w:lang w:val="en-AU"/>
        </w:rPr>
        <w:t xml:space="preserve"> leads to greater </w:t>
      </w:r>
      <w:r w:rsidR="00A250C8" w:rsidRPr="00F32558">
        <w:rPr>
          <w:rFonts w:ascii="Calibri" w:hAnsi="Calibri"/>
          <w:color w:val="313233" w:themeColor="text1"/>
          <w:sz w:val="20"/>
          <w:szCs w:val="20"/>
          <w:lang w:val="en-AU"/>
        </w:rPr>
        <w:t>effectiveness</w:t>
      </w:r>
      <w:r w:rsidR="00073CF5" w:rsidRPr="00F32558">
        <w:rPr>
          <w:rFonts w:ascii="Calibri" w:hAnsi="Calibri"/>
          <w:color w:val="313233" w:themeColor="text1"/>
          <w:sz w:val="20"/>
          <w:szCs w:val="20"/>
          <w:lang w:val="en-AU"/>
        </w:rPr>
        <w:t xml:space="preserve"> and is highly valued by private sector partners</w:t>
      </w:r>
      <w:r w:rsidRPr="00F32558">
        <w:rPr>
          <w:rFonts w:ascii="Calibri" w:hAnsi="Calibri"/>
          <w:color w:val="313233" w:themeColor="text1"/>
          <w:sz w:val="20"/>
          <w:szCs w:val="20"/>
          <w:lang w:val="en-AU"/>
        </w:rPr>
        <w:t>;</w:t>
      </w:r>
    </w:p>
    <w:p w14:paraId="6BEE07F8" w14:textId="408B4B25" w:rsidR="00F07510" w:rsidRPr="00F32558" w:rsidRDefault="0047195D" w:rsidP="009349B6">
      <w:pPr>
        <w:pStyle w:val="ListParagraph"/>
        <w:numPr>
          <w:ilvl w:val="0"/>
          <w:numId w:val="15"/>
        </w:numPr>
        <w:spacing w:before="0" w:beforeAutospacing="0" w:line="259" w:lineRule="auto"/>
        <w:jc w:val="both"/>
        <w:rPr>
          <w:rFonts w:ascii="Calibri" w:hAnsi="Calibri"/>
          <w:color w:val="000000"/>
          <w:sz w:val="20"/>
          <w:szCs w:val="20"/>
          <w:lang w:val="en-AU"/>
        </w:rPr>
      </w:pPr>
      <w:r w:rsidRPr="00F32558">
        <w:rPr>
          <w:rFonts w:ascii="Calibri" w:hAnsi="Calibri"/>
          <w:color w:val="000000"/>
          <w:sz w:val="20"/>
          <w:szCs w:val="20"/>
          <w:lang w:val="en-AU"/>
        </w:rPr>
        <w:t>Thinking creatively with p</w:t>
      </w:r>
      <w:r w:rsidR="00AC62EC" w:rsidRPr="00F32558">
        <w:rPr>
          <w:rFonts w:ascii="Calibri" w:hAnsi="Calibri"/>
          <w:color w:val="000000"/>
          <w:sz w:val="20"/>
          <w:szCs w:val="20"/>
          <w:lang w:val="en-AU"/>
        </w:rPr>
        <w:t xml:space="preserve">artners </w:t>
      </w:r>
      <w:r w:rsidR="004A3665" w:rsidRPr="00F32558">
        <w:rPr>
          <w:rFonts w:ascii="Calibri" w:hAnsi="Calibri"/>
          <w:color w:val="000000"/>
          <w:sz w:val="20"/>
          <w:szCs w:val="20"/>
          <w:lang w:val="en-AU"/>
        </w:rPr>
        <w:t>on how</w:t>
      </w:r>
      <w:r w:rsidR="000349C6" w:rsidRPr="00F32558">
        <w:rPr>
          <w:rFonts w:ascii="Calibri" w:hAnsi="Calibri"/>
          <w:color w:val="000000"/>
          <w:sz w:val="20"/>
          <w:szCs w:val="20"/>
          <w:lang w:val="en-AU"/>
        </w:rPr>
        <w:t xml:space="preserve"> </w:t>
      </w:r>
      <w:r w:rsidR="001F36A0" w:rsidRPr="00F32558">
        <w:rPr>
          <w:rFonts w:ascii="Calibri" w:hAnsi="Calibri"/>
          <w:color w:val="000000"/>
          <w:sz w:val="20"/>
          <w:szCs w:val="20"/>
          <w:lang w:val="en-AU"/>
        </w:rPr>
        <w:t>to</w:t>
      </w:r>
      <w:r w:rsidR="000349C6" w:rsidRPr="00F32558">
        <w:rPr>
          <w:rFonts w:ascii="Calibri" w:hAnsi="Calibri"/>
          <w:color w:val="000000"/>
          <w:sz w:val="20"/>
          <w:szCs w:val="20"/>
          <w:lang w:val="en-AU"/>
        </w:rPr>
        <w:t xml:space="preserve"> </w:t>
      </w:r>
      <w:r w:rsidR="000349C6" w:rsidRPr="00F32558">
        <w:rPr>
          <w:rFonts w:ascii="Calibri" w:hAnsi="Calibri"/>
          <w:b/>
          <w:color w:val="000000"/>
          <w:sz w:val="20"/>
          <w:szCs w:val="20"/>
          <w:lang w:val="en-AU"/>
        </w:rPr>
        <w:t>overcom</w:t>
      </w:r>
      <w:r w:rsidR="001F36A0" w:rsidRPr="00F32558">
        <w:rPr>
          <w:rFonts w:ascii="Calibri" w:hAnsi="Calibri"/>
          <w:b/>
          <w:color w:val="000000"/>
          <w:sz w:val="20"/>
          <w:szCs w:val="20"/>
          <w:lang w:val="en-AU"/>
        </w:rPr>
        <w:t>e</w:t>
      </w:r>
      <w:r w:rsidR="000349C6" w:rsidRPr="00F32558">
        <w:rPr>
          <w:rFonts w:ascii="Calibri" w:hAnsi="Calibri"/>
          <w:b/>
          <w:color w:val="000000"/>
          <w:sz w:val="20"/>
          <w:szCs w:val="20"/>
          <w:lang w:val="en-AU"/>
        </w:rPr>
        <w:t xml:space="preserve"> challenges of geography and time zones</w:t>
      </w:r>
      <w:r w:rsidR="000349C6" w:rsidRPr="00F32558">
        <w:rPr>
          <w:rFonts w:ascii="Calibri" w:hAnsi="Calibri"/>
          <w:color w:val="000000"/>
          <w:sz w:val="20"/>
          <w:szCs w:val="20"/>
          <w:lang w:val="en-AU"/>
        </w:rPr>
        <w:t xml:space="preserve">; </w:t>
      </w:r>
      <w:r w:rsidR="00E2664A" w:rsidRPr="00F32558">
        <w:rPr>
          <w:rFonts w:ascii="Calibri" w:hAnsi="Calibri"/>
          <w:color w:val="000000"/>
          <w:sz w:val="20"/>
          <w:szCs w:val="20"/>
          <w:lang w:val="en-AU"/>
        </w:rPr>
        <w:t xml:space="preserve">possibly </w:t>
      </w:r>
      <w:r w:rsidR="000E2F86" w:rsidRPr="00F32558">
        <w:rPr>
          <w:rFonts w:ascii="Calibri" w:hAnsi="Calibri"/>
          <w:color w:val="000000"/>
          <w:sz w:val="20"/>
          <w:szCs w:val="20"/>
          <w:lang w:val="en-AU"/>
        </w:rPr>
        <w:t>through</w:t>
      </w:r>
      <w:r w:rsidR="000349C6" w:rsidRPr="00F32558">
        <w:rPr>
          <w:rFonts w:ascii="Calibri" w:hAnsi="Calibri"/>
          <w:color w:val="000000"/>
          <w:sz w:val="20"/>
          <w:szCs w:val="20"/>
          <w:lang w:val="en-AU"/>
        </w:rPr>
        <w:t xml:space="preserve"> further secondments </w:t>
      </w:r>
      <w:r w:rsidR="00E2664A" w:rsidRPr="00F32558">
        <w:rPr>
          <w:rFonts w:ascii="Calibri" w:hAnsi="Calibri"/>
          <w:color w:val="000000"/>
          <w:sz w:val="20"/>
          <w:szCs w:val="20"/>
          <w:lang w:val="en-AU"/>
        </w:rPr>
        <w:t xml:space="preserve">in </w:t>
      </w:r>
      <w:r w:rsidR="004A3665" w:rsidRPr="00F32558">
        <w:rPr>
          <w:rFonts w:ascii="Calibri" w:hAnsi="Calibri"/>
          <w:color w:val="000000"/>
          <w:sz w:val="20"/>
          <w:szCs w:val="20"/>
          <w:lang w:val="en-AU"/>
        </w:rPr>
        <w:t>strategic</w:t>
      </w:r>
      <w:r w:rsidR="00E2664A" w:rsidRPr="00F32558">
        <w:rPr>
          <w:rFonts w:ascii="Calibri" w:hAnsi="Calibri"/>
          <w:color w:val="000000"/>
          <w:sz w:val="20"/>
          <w:szCs w:val="20"/>
          <w:lang w:val="en-AU"/>
        </w:rPr>
        <w:t xml:space="preserve"> global</w:t>
      </w:r>
      <w:r w:rsidR="004A3665" w:rsidRPr="00F32558">
        <w:rPr>
          <w:rFonts w:ascii="Calibri" w:hAnsi="Calibri"/>
          <w:color w:val="000000"/>
          <w:sz w:val="20"/>
          <w:szCs w:val="20"/>
          <w:lang w:val="en-AU"/>
        </w:rPr>
        <w:t xml:space="preserve"> locations</w:t>
      </w:r>
      <w:r w:rsidR="00613D01" w:rsidRPr="00F32558">
        <w:rPr>
          <w:rFonts w:ascii="Calibri" w:hAnsi="Calibri"/>
          <w:color w:val="000000"/>
          <w:sz w:val="20"/>
          <w:szCs w:val="20"/>
          <w:lang w:val="en-AU"/>
        </w:rPr>
        <w:t>; and</w:t>
      </w:r>
    </w:p>
    <w:p w14:paraId="4A14F684" w14:textId="19C38AFF" w:rsidR="00D45097" w:rsidRPr="00F32558" w:rsidRDefault="006D27DF" w:rsidP="009349B6">
      <w:pPr>
        <w:pStyle w:val="ListParagraph"/>
        <w:numPr>
          <w:ilvl w:val="0"/>
          <w:numId w:val="15"/>
        </w:numPr>
        <w:spacing w:before="0" w:beforeAutospacing="0" w:line="259" w:lineRule="auto"/>
        <w:jc w:val="both"/>
        <w:rPr>
          <w:rFonts w:ascii="Calibri" w:hAnsi="Calibri"/>
          <w:color w:val="000000"/>
          <w:sz w:val="20"/>
          <w:szCs w:val="20"/>
          <w:lang w:val="en-AU"/>
        </w:rPr>
      </w:pPr>
      <w:r w:rsidRPr="00F32558">
        <w:rPr>
          <w:rFonts w:ascii="Calibri" w:hAnsi="Calibri"/>
          <w:color w:val="313233" w:themeColor="text1"/>
          <w:sz w:val="20"/>
          <w:szCs w:val="20"/>
          <w:lang w:val="en-AU"/>
        </w:rPr>
        <w:t>E</w:t>
      </w:r>
      <w:r w:rsidR="00073CF5" w:rsidRPr="00F32558">
        <w:rPr>
          <w:rFonts w:ascii="Calibri" w:hAnsi="Calibri"/>
          <w:color w:val="313233" w:themeColor="text1"/>
          <w:sz w:val="20"/>
          <w:szCs w:val="20"/>
          <w:lang w:val="en-AU"/>
        </w:rPr>
        <w:t>nsur</w:t>
      </w:r>
      <w:r w:rsidRPr="00F32558">
        <w:rPr>
          <w:rFonts w:ascii="Calibri" w:hAnsi="Calibri"/>
          <w:color w:val="313233" w:themeColor="text1"/>
          <w:sz w:val="20"/>
          <w:szCs w:val="20"/>
          <w:lang w:val="en-AU"/>
        </w:rPr>
        <w:t>ing</w:t>
      </w:r>
      <w:r w:rsidR="00073CF5" w:rsidRPr="00F32558">
        <w:rPr>
          <w:rFonts w:ascii="Calibri" w:hAnsi="Calibri"/>
          <w:color w:val="313233" w:themeColor="text1"/>
          <w:sz w:val="20"/>
          <w:szCs w:val="20"/>
          <w:lang w:val="en-AU"/>
        </w:rPr>
        <w:t xml:space="preserve"> that there are </w:t>
      </w:r>
      <w:r w:rsidR="00073CF5" w:rsidRPr="00F32558">
        <w:rPr>
          <w:rFonts w:ascii="Calibri" w:hAnsi="Calibri"/>
          <w:b/>
          <w:color w:val="313233" w:themeColor="text1"/>
          <w:sz w:val="20"/>
          <w:szCs w:val="20"/>
          <w:lang w:val="en-AU"/>
        </w:rPr>
        <w:t xml:space="preserve">appropriate procurement mechanisms in place to enable </w:t>
      </w:r>
      <w:r w:rsidR="0058722F" w:rsidRPr="00F32558">
        <w:rPr>
          <w:rFonts w:ascii="Calibri" w:hAnsi="Calibri"/>
          <w:b/>
          <w:color w:val="313233" w:themeColor="text1"/>
          <w:sz w:val="20"/>
          <w:szCs w:val="20"/>
          <w:lang w:val="en-AU"/>
        </w:rPr>
        <w:t>collaboration</w:t>
      </w:r>
      <w:r w:rsidR="00073CF5" w:rsidRPr="00F32558">
        <w:rPr>
          <w:rFonts w:ascii="Calibri" w:hAnsi="Calibri"/>
          <w:b/>
          <w:color w:val="313233" w:themeColor="text1"/>
          <w:sz w:val="20"/>
          <w:szCs w:val="20"/>
          <w:lang w:val="en-AU"/>
        </w:rPr>
        <w:t xml:space="preserve"> with a range of actors</w:t>
      </w:r>
      <w:r w:rsidR="00073CF5" w:rsidRPr="00F32558">
        <w:rPr>
          <w:rFonts w:ascii="Calibri" w:hAnsi="Calibri"/>
          <w:color w:val="313233" w:themeColor="text1"/>
          <w:sz w:val="20"/>
          <w:szCs w:val="20"/>
          <w:lang w:val="en-AU"/>
        </w:rPr>
        <w:t>, including smaller scale</w:t>
      </w:r>
      <w:r w:rsidR="002044FC" w:rsidRPr="00F32558">
        <w:rPr>
          <w:rFonts w:ascii="Calibri" w:hAnsi="Calibri"/>
          <w:color w:val="313233" w:themeColor="text1"/>
          <w:sz w:val="20"/>
          <w:szCs w:val="20"/>
          <w:lang w:val="en-AU"/>
        </w:rPr>
        <w:t xml:space="preserve"> and/or non-traditional partners such as private sector</w:t>
      </w:r>
      <w:r w:rsidR="00073CF5" w:rsidRPr="00F32558">
        <w:rPr>
          <w:rFonts w:ascii="Calibri" w:hAnsi="Calibri"/>
          <w:color w:val="313233" w:themeColor="text1"/>
          <w:sz w:val="20"/>
          <w:szCs w:val="20"/>
          <w:lang w:val="en-AU"/>
        </w:rPr>
        <w:t xml:space="preserve"> entrepreneur</w:t>
      </w:r>
      <w:r w:rsidR="002044FC" w:rsidRPr="00F32558">
        <w:rPr>
          <w:rFonts w:ascii="Calibri" w:hAnsi="Calibri"/>
          <w:color w:val="313233" w:themeColor="text1"/>
          <w:sz w:val="20"/>
          <w:szCs w:val="20"/>
          <w:lang w:val="en-AU"/>
        </w:rPr>
        <w:t xml:space="preserve">s, acknowledging that they may need additional support around the operational dimensions of working with a government body (e.g. accountability requirements). </w:t>
      </w:r>
    </w:p>
    <w:p w14:paraId="0F26E2BA" w14:textId="1C7D4966" w:rsidR="00864FB6" w:rsidRPr="00EE46B9" w:rsidRDefault="00864FB6" w:rsidP="00864FB6">
      <w:pPr>
        <w:pStyle w:val="Heading2"/>
        <w:jc w:val="both"/>
      </w:pPr>
      <w:r w:rsidRPr="00EE46B9">
        <w:t>Understanding and building pathways to scale</w:t>
      </w:r>
    </w:p>
    <w:p w14:paraId="61D4A64D" w14:textId="3F922979" w:rsidR="00864FB6" w:rsidRDefault="00864FB6" w:rsidP="00864FB6">
      <w:pPr>
        <w:spacing w:after="80"/>
        <w:jc w:val="both"/>
        <w:rPr>
          <w:rFonts w:ascii="Calibri" w:eastAsia="Times New Roman" w:hAnsi="Calibri" w:cs="Times New Roman"/>
          <w:color w:val="000000"/>
          <w:sz w:val="20"/>
          <w:szCs w:val="20"/>
          <w:lang w:val="en-AU"/>
        </w:rPr>
      </w:pPr>
      <w:r>
        <w:rPr>
          <w:rFonts w:ascii="Calibri" w:eastAsia="Times New Roman" w:hAnsi="Calibri" w:cs="Times New Roman"/>
          <w:color w:val="000000"/>
          <w:sz w:val="20"/>
          <w:szCs w:val="20"/>
          <w:lang w:val="en-AU"/>
        </w:rPr>
        <w:t>Innovation</w:t>
      </w:r>
      <w:r w:rsidRPr="009D32C8">
        <w:rPr>
          <w:rFonts w:ascii="Calibri" w:eastAsia="Times New Roman" w:hAnsi="Calibri" w:cs="Times New Roman"/>
          <w:color w:val="000000"/>
          <w:sz w:val="20"/>
          <w:szCs w:val="20"/>
          <w:lang w:val="en-AU"/>
        </w:rPr>
        <w:t>-</w:t>
      </w:r>
      <w:r>
        <w:rPr>
          <w:rFonts w:ascii="Calibri" w:eastAsia="Times New Roman" w:hAnsi="Calibri" w:cs="Times New Roman"/>
          <w:color w:val="000000"/>
          <w:sz w:val="20"/>
          <w:szCs w:val="20"/>
          <w:lang w:val="en-AU"/>
        </w:rPr>
        <w:t>supporting</w:t>
      </w:r>
      <w:r w:rsidRPr="009D32C8">
        <w:rPr>
          <w:rFonts w:ascii="Calibri" w:eastAsia="Times New Roman" w:hAnsi="Calibri" w:cs="Times New Roman"/>
          <w:color w:val="000000"/>
          <w:sz w:val="20"/>
          <w:szCs w:val="20"/>
          <w:lang w:val="en-AU"/>
        </w:rPr>
        <w:t xml:space="preserve"> entities have </w:t>
      </w:r>
      <w:r>
        <w:rPr>
          <w:rFonts w:ascii="Calibri" w:eastAsia="Times New Roman" w:hAnsi="Calibri" w:cs="Times New Roman"/>
          <w:color w:val="000000"/>
          <w:sz w:val="20"/>
          <w:szCs w:val="20"/>
          <w:lang w:val="en-AU"/>
        </w:rPr>
        <w:t xml:space="preserve">access to </w:t>
      </w:r>
      <w:r w:rsidRPr="009D32C8">
        <w:rPr>
          <w:rFonts w:ascii="Calibri" w:eastAsia="Times New Roman" w:hAnsi="Calibri" w:cs="Times New Roman"/>
          <w:color w:val="000000"/>
          <w:sz w:val="20"/>
          <w:szCs w:val="20"/>
          <w:lang w:val="en-AU"/>
        </w:rPr>
        <w:t>a range of approaches to tracking an innovation’s progress toward scale</w:t>
      </w:r>
      <w:r>
        <w:rPr>
          <w:rFonts w:ascii="Calibri" w:eastAsia="Times New Roman" w:hAnsi="Calibri" w:cs="Times New Roman"/>
          <w:color w:val="000000"/>
          <w:sz w:val="20"/>
          <w:szCs w:val="20"/>
          <w:lang w:val="en-AU"/>
        </w:rPr>
        <w:t xml:space="preserve">. As part of its membership in the </w:t>
      </w:r>
      <w:hyperlink r:id="rId34" w:history="1">
        <w:r w:rsidRPr="00912859">
          <w:rPr>
            <w:rStyle w:val="Hyperlink"/>
            <w:rFonts w:ascii="Calibri" w:eastAsia="Times New Roman" w:hAnsi="Calibri" w:cs="Times New Roman"/>
            <w:sz w:val="20"/>
            <w:szCs w:val="20"/>
            <w:lang w:val="en-AU"/>
          </w:rPr>
          <w:t>International Development Innovation Alliance</w:t>
        </w:r>
      </w:hyperlink>
      <w:r>
        <w:rPr>
          <w:rFonts w:ascii="Calibri" w:eastAsia="Times New Roman" w:hAnsi="Calibri" w:cs="Times New Roman"/>
          <w:color w:val="000000"/>
          <w:sz w:val="20"/>
          <w:szCs w:val="20"/>
          <w:lang w:val="en-AU"/>
        </w:rPr>
        <w:t xml:space="preserve"> (IDIA), t</w:t>
      </w:r>
      <w:r w:rsidRPr="009D32C8">
        <w:rPr>
          <w:rFonts w:ascii="Calibri" w:eastAsia="Times New Roman" w:hAnsi="Calibri" w:cs="Times New Roman"/>
          <w:color w:val="000000"/>
          <w:sz w:val="20"/>
          <w:szCs w:val="20"/>
          <w:lang w:val="en-AU"/>
        </w:rPr>
        <w:t>he iXc</w:t>
      </w:r>
      <w:r>
        <w:rPr>
          <w:rFonts w:ascii="Calibri" w:eastAsia="Times New Roman" w:hAnsi="Calibri" w:cs="Times New Roman"/>
          <w:color w:val="000000"/>
          <w:sz w:val="20"/>
          <w:szCs w:val="20"/>
          <w:lang w:val="en-AU"/>
        </w:rPr>
        <w:t xml:space="preserve"> collaborated with experts from across the global community to develop a shared understanding of and high-level architecture for scaling innovation. This detailed framework was presented in the June 2017 IDIA </w:t>
      </w:r>
      <w:r w:rsidRPr="002D65B5">
        <w:rPr>
          <w:rFonts w:ascii="Calibri" w:eastAsia="Times New Roman" w:hAnsi="Calibri" w:cs="Times New Roman"/>
          <w:color w:val="000000"/>
          <w:sz w:val="20"/>
          <w:szCs w:val="20"/>
          <w:lang w:val="en-AU"/>
        </w:rPr>
        <w:t xml:space="preserve">publication </w:t>
      </w:r>
      <w:r w:rsidR="002D65B5" w:rsidRPr="002D65B5">
        <w:rPr>
          <w:rFonts w:ascii="Calibri" w:eastAsia="Times New Roman" w:hAnsi="Calibri" w:cs="Times New Roman"/>
          <w:color w:val="000000"/>
          <w:sz w:val="20"/>
          <w:szCs w:val="20"/>
          <w:lang w:val="en-AU"/>
        </w:rPr>
        <w:t>‘</w:t>
      </w:r>
      <w:r w:rsidRPr="002D65B5">
        <w:rPr>
          <w:rFonts w:ascii="Calibri" w:eastAsia="Times New Roman" w:hAnsi="Calibri" w:cs="Times New Roman"/>
          <w:sz w:val="20"/>
          <w:szCs w:val="20"/>
          <w:lang w:val="en-AU"/>
        </w:rPr>
        <w:t>Insights on Scaling Innovation</w:t>
      </w:r>
      <w:r w:rsidR="002D65B5">
        <w:rPr>
          <w:rFonts w:ascii="Calibri" w:eastAsia="Times New Roman" w:hAnsi="Calibri" w:cs="Times New Roman"/>
          <w:sz w:val="20"/>
          <w:szCs w:val="20"/>
          <w:lang w:val="en-AU"/>
        </w:rPr>
        <w:t>’</w:t>
      </w:r>
      <w:r w:rsidR="002D65B5">
        <w:rPr>
          <w:rStyle w:val="FootnoteReference"/>
          <w:rFonts w:ascii="Calibri" w:eastAsia="Times New Roman" w:hAnsi="Calibri" w:cs="Times New Roman"/>
          <w:sz w:val="20"/>
          <w:szCs w:val="20"/>
          <w:lang w:val="en-AU"/>
        </w:rPr>
        <w:footnoteReference w:id="14"/>
      </w:r>
      <w:r w:rsidRPr="002D65B5">
        <w:rPr>
          <w:rFonts w:ascii="Calibri" w:eastAsia="Times New Roman" w:hAnsi="Calibri" w:cs="Times New Roman"/>
          <w:color w:val="000000"/>
          <w:sz w:val="20"/>
          <w:szCs w:val="20"/>
          <w:lang w:val="en-AU"/>
        </w:rPr>
        <w:t xml:space="preserve"> and</w:t>
      </w:r>
      <w:r>
        <w:rPr>
          <w:rFonts w:ascii="Calibri" w:eastAsia="Times New Roman" w:hAnsi="Calibri" w:cs="Times New Roman"/>
          <w:color w:val="000000"/>
          <w:sz w:val="20"/>
          <w:szCs w:val="20"/>
          <w:lang w:val="en-AU"/>
        </w:rPr>
        <w:t xml:space="preserve"> outlines six key stages, shown </w:t>
      </w:r>
      <w:r w:rsidRPr="00EC4300">
        <w:rPr>
          <w:rFonts w:ascii="Calibri" w:eastAsia="Times New Roman" w:hAnsi="Calibri" w:cs="Times New Roman"/>
          <w:color w:val="000000"/>
          <w:sz w:val="20"/>
          <w:szCs w:val="20"/>
          <w:lang w:val="en-AU"/>
        </w:rPr>
        <w:t>below</w:t>
      </w:r>
      <w:r>
        <w:rPr>
          <w:rFonts w:ascii="Calibri" w:eastAsia="Times New Roman" w:hAnsi="Calibri" w:cs="Times New Roman"/>
          <w:color w:val="000000"/>
          <w:sz w:val="20"/>
          <w:szCs w:val="20"/>
          <w:lang w:val="en-AU"/>
        </w:rPr>
        <w:t xml:space="preserve">. </w:t>
      </w:r>
    </w:p>
    <w:p w14:paraId="35FCC2AC" w14:textId="15A22002" w:rsidR="00864FB6" w:rsidRDefault="0050215D" w:rsidP="00864FB6">
      <w:pPr>
        <w:spacing w:after="80"/>
        <w:jc w:val="both"/>
        <w:rPr>
          <w:rFonts w:eastAsia="Times New Roman" w:cs="Times New Roman"/>
          <w:sz w:val="20"/>
          <w:szCs w:val="20"/>
          <w:lang w:val="en-AU"/>
        </w:rPr>
      </w:pPr>
      <w:r>
        <w:rPr>
          <w:rFonts w:eastAsia="Times New Roman" w:cs="Times New Roman"/>
          <w:noProof/>
          <w:sz w:val="20"/>
          <w:szCs w:val="20"/>
          <w:lang w:val="en-AU"/>
        </w:rPr>
        <w:drawing>
          <wp:inline distT="0" distB="0" distL="0" distR="0" wp14:anchorId="07B29D22" wp14:editId="1A5937D4">
            <wp:extent cx="5943600" cy="22415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9-05-03 at 3.53.47 PM.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43600" cy="2241550"/>
                    </a:xfrm>
                    <a:prstGeom prst="rect">
                      <a:avLst/>
                    </a:prstGeom>
                  </pic:spPr>
                </pic:pic>
              </a:graphicData>
            </a:graphic>
          </wp:inline>
        </w:drawing>
      </w:r>
    </w:p>
    <w:p w14:paraId="3CC50D23" w14:textId="77777777" w:rsidR="00864FB6" w:rsidRPr="008164B1" w:rsidRDefault="00864FB6" w:rsidP="00864FB6">
      <w:pPr>
        <w:spacing w:after="80"/>
        <w:jc w:val="both"/>
        <w:rPr>
          <w:rFonts w:eastAsia="Times New Roman" w:cs="Times New Roman"/>
          <w:b/>
          <w:i/>
          <w:color w:val="572181" w:themeColor="accent3"/>
          <w:sz w:val="18"/>
          <w:szCs w:val="18"/>
          <w:lang w:val="en-AU"/>
        </w:rPr>
      </w:pPr>
      <w:r w:rsidRPr="008164B1">
        <w:rPr>
          <w:rFonts w:eastAsia="Times New Roman" w:cs="Times New Roman"/>
          <w:b/>
          <w:i/>
          <w:color w:val="572181" w:themeColor="accent3"/>
          <w:sz w:val="18"/>
          <w:szCs w:val="18"/>
          <w:lang w:val="en-AU"/>
        </w:rPr>
        <w:t xml:space="preserve">Figure </w:t>
      </w:r>
      <w:r>
        <w:rPr>
          <w:rFonts w:eastAsia="Times New Roman" w:cs="Times New Roman"/>
          <w:b/>
          <w:i/>
          <w:color w:val="572181" w:themeColor="accent3"/>
          <w:sz w:val="18"/>
          <w:szCs w:val="18"/>
          <w:lang w:val="en-AU"/>
        </w:rPr>
        <w:t>2</w:t>
      </w:r>
      <w:r w:rsidRPr="008164B1">
        <w:rPr>
          <w:rFonts w:eastAsia="Times New Roman" w:cs="Times New Roman"/>
          <w:b/>
          <w:i/>
          <w:color w:val="572181" w:themeColor="accent3"/>
          <w:sz w:val="18"/>
          <w:szCs w:val="18"/>
          <w:lang w:val="en-AU"/>
        </w:rPr>
        <w:t>: Six stages of the scaling pathway as defined by IDIA</w:t>
      </w:r>
    </w:p>
    <w:p w14:paraId="6E95CA95" w14:textId="77777777" w:rsidR="00864FB6" w:rsidRPr="00803DF8" w:rsidRDefault="00864FB6" w:rsidP="00864FB6">
      <w:pPr>
        <w:jc w:val="both"/>
        <w:rPr>
          <w:rFonts w:ascii="Calibri" w:eastAsia="Times New Roman" w:hAnsi="Calibri" w:cs="Times New Roman"/>
          <w:color w:val="000000"/>
          <w:sz w:val="12"/>
          <w:szCs w:val="12"/>
          <w:lang w:val="en-AU"/>
        </w:rPr>
      </w:pPr>
    </w:p>
    <w:p w14:paraId="604E9D3C" w14:textId="5DAEFE4C" w:rsidR="00FF3156" w:rsidRDefault="00864FB6" w:rsidP="00864FB6">
      <w:pPr>
        <w:spacing w:after="80"/>
        <w:jc w:val="both"/>
        <w:rPr>
          <w:rFonts w:ascii="Calibri" w:eastAsia="Times New Roman" w:hAnsi="Calibri" w:cs="Times New Roman"/>
          <w:color w:val="000000"/>
          <w:sz w:val="20"/>
          <w:szCs w:val="20"/>
          <w:lang w:val="en-AU"/>
        </w:rPr>
      </w:pPr>
      <w:r w:rsidRPr="009D32C8">
        <w:rPr>
          <w:rFonts w:ascii="Calibri" w:eastAsia="Times New Roman" w:hAnsi="Calibri" w:cs="Times New Roman"/>
          <w:color w:val="000000"/>
          <w:sz w:val="20"/>
          <w:szCs w:val="20"/>
          <w:lang w:val="en-AU"/>
        </w:rPr>
        <w:t xml:space="preserve">The iXc has </w:t>
      </w:r>
      <w:r>
        <w:rPr>
          <w:rFonts w:ascii="Calibri" w:eastAsia="Times New Roman" w:hAnsi="Calibri" w:cs="Times New Roman"/>
          <w:color w:val="000000"/>
          <w:sz w:val="20"/>
          <w:szCs w:val="20"/>
          <w:lang w:val="en-AU"/>
        </w:rPr>
        <w:t>had some</w:t>
      </w:r>
      <w:r w:rsidRPr="009D32C8">
        <w:rPr>
          <w:rFonts w:ascii="Calibri" w:eastAsia="Times New Roman" w:hAnsi="Calibri" w:cs="Times New Roman"/>
          <w:color w:val="000000"/>
          <w:sz w:val="20"/>
          <w:szCs w:val="20"/>
          <w:lang w:val="en-AU"/>
        </w:rPr>
        <w:t xml:space="preserve"> success</w:t>
      </w:r>
      <w:r>
        <w:rPr>
          <w:rFonts w:ascii="Calibri" w:eastAsia="Times New Roman" w:hAnsi="Calibri" w:cs="Times New Roman"/>
          <w:color w:val="000000"/>
          <w:sz w:val="20"/>
          <w:szCs w:val="20"/>
          <w:lang w:val="en-AU"/>
        </w:rPr>
        <w:t xml:space="preserve"> </w:t>
      </w:r>
      <w:r w:rsidRPr="009D32C8">
        <w:rPr>
          <w:rFonts w:ascii="Calibri" w:eastAsia="Times New Roman" w:hAnsi="Calibri" w:cs="Times New Roman"/>
          <w:color w:val="000000"/>
          <w:sz w:val="20"/>
          <w:szCs w:val="20"/>
          <w:lang w:val="en-AU"/>
        </w:rPr>
        <w:t>in helping innovators progress along th</w:t>
      </w:r>
      <w:r>
        <w:rPr>
          <w:rFonts w:ascii="Calibri" w:eastAsia="Times New Roman" w:hAnsi="Calibri" w:cs="Times New Roman"/>
          <w:color w:val="000000"/>
          <w:sz w:val="20"/>
          <w:szCs w:val="20"/>
          <w:lang w:val="en-AU"/>
        </w:rPr>
        <w:t>is</w:t>
      </w:r>
      <w:r w:rsidRPr="009D32C8">
        <w:rPr>
          <w:rFonts w:ascii="Calibri" w:eastAsia="Times New Roman" w:hAnsi="Calibri" w:cs="Times New Roman"/>
          <w:color w:val="000000"/>
          <w:sz w:val="20"/>
          <w:szCs w:val="20"/>
          <w:lang w:val="en-AU"/>
        </w:rPr>
        <w:t xml:space="preserve"> pathway to scale</w:t>
      </w:r>
      <w:r w:rsidR="00C94123">
        <w:rPr>
          <w:rFonts w:ascii="Calibri" w:eastAsia="Times New Roman" w:hAnsi="Calibri" w:cs="Times New Roman"/>
          <w:color w:val="000000"/>
          <w:sz w:val="20"/>
          <w:szCs w:val="20"/>
          <w:lang w:val="en-AU"/>
        </w:rPr>
        <w:t xml:space="preserve">, using support mechanisms such as bootcamps, acceleration models and </w:t>
      </w:r>
      <w:r w:rsidR="00FF3156">
        <w:rPr>
          <w:rFonts w:ascii="Calibri" w:eastAsia="Times New Roman" w:hAnsi="Calibri" w:cs="Times New Roman"/>
          <w:color w:val="000000"/>
          <w:sz w:val="20"/>
          <w:szCs w:val="20"/>
          <w:lang w:val="en-AU"/>
        </w:rPr>
        <w:t>technical advice</w:t>
      </w:r>
      <w:r w:rsidRPr="009D32C8">
        <w:rPr>
          <w:rFonts w:ascii="Calibri" w:eastAsia="Times New Roman" w:hAnsi="Calibri" w:cs="Times New Roman"/>
          <w:color w:val="000000"/>
          <w:sz w:val="20"/>
          <w:szCs w:val="20"/>
          <w:lang w:val="en-AU"/>
        </w:rPr>
        <w:t xml:space="preserve">. </w:t>
      </w:r>
      <w:r w:rsidR="00FF3156">
        <w:rPr>
          <w:rFonts w:ascii="Calibri" w:eastAsia="Times New Roman" w:hAnsi="Calibri" w:cs="Times New Roman"/>
          <w:color w:val="000000"/>
          <w:sz w:val="20"/>
          <w:szCs w:val="20"/>
          <w:lang w:val="en-AU"/>
        </w:rPr>
        <w:t xml:space="preserve">For instance, as part of the open innovation challenge run by Australia’s </w:t>
      </w:r>
      <w:hyperlink r:id="rId36" w:history="1">
        <w:r w:rsidR="00FF3156" w:rsidRPr="00922FDA">
          <w:rPr>
            <w:rStyle w:val="Hyperlink"/>
            <w:rFonts w:ascii="Calibri" w:eastAsia="Times New Roman" w:hAnsi="Calibri" w:cs="Times New Roman"/>
            <w:sz w:val="20"/>
            <w:szCs w:val="20"/>
            <w:lang w:val="en-AU"/>
          </w:rPr>
          <w:t>MIKTA</w:t>
        </w:r>
      </w:hyperlink>
      <w:r w:rsidR="00FF3156" w:rsidRPr="00FF3156">
        <w:rPr>
          <w:rFonts w:ascii="Calibri" w:eastAsia="Times New Roman" w:hAnsi="Calibri" w:cs="Times New Roman"/>
          <w:color w:val="000000"/>
          <w:sz w:val="20"/>
          <w:szCs w:val="20"/>
          <w:lang w:val="en-AU"/>
        </w:rPr>
        <w:t xml:space="preserve"> partners</w:t>
      </w:r>
      <w:r w:rsidR="00FF3156">
        <w:rPr>
          <w:rFonts w:ascii="Calibri" w:eastAsia="Times New Roman" w:hAnsi="Calibri" w:cs="Times New Roman"/>
          <w:color w:val="000000"/>
          <w:sz w:val="20"/>
          <w:szCs w:val="20"/>
          <w:lang w:val="en-AU"/>
        </w:rPr>
        <w:t>,</w:t>
      </w:r>
      <w:r w:rsidR="00FF3156" w:rsidRPr="00FF3156">
        <w:rPr>
          <w:rFonts w:ascii="Calibri" w:eastAsia="Times New Roman" w:hAnsi="Calibri" w:cs="Times New Roman"/>
          <w:color w:val="000000"/>
          <w:sz w:val="20"/>
          <w:szCs w:val="20"/>
          <w:lang w:val="en-AU"/>
        </w:rPr>
        <w:t xml:space="preserve"> OpenIDEO and the Global Knowledge Initiative</w:t>
      </w:r>
      <w:r w:rsidR="00FF3156">
        <w:rPr>
          <w:rFonts w:ascii="Calibri" w:eastAsia="Times New Roman" w:hAnsi="Calibri" w:cs="Times New Roman"/>
          <w:color w:val="000000"/>
          <w:sz w:val="20"/>
          <w:szCs w:val="20"/>
          <w:lang w:val="en-AU"/>
        </w:rPr>
        <w:t xml:space="preserve"> ran </w:t>
      </w:r>
      <w:r w:rsidR="00FF3156" w:rsidRPr="00FF3156">
        <w:rPr>
          <w:rFonts w:ascii="Calibri" w:eastAsia="Times New Roman" w:hAnsi="Calibri" w:cs="Times New Roman"/>
          <w:color w:val="000000"/>
          <w:sz w:val="20"/>
          <w:szCs w:val="20"/>
          <w:lang w:val="en-AU"/>
        </w:rPr>
        <w:t xml:space="preserve">a bootcamp for the seven challenge winners </w:t>
      </w:r>
      <w:r w:rsidR="0052546E">
        <w:rPr>
          <w:rFonts w:ascii="Calibri" w:eastAsia="Times New Roman" w:hAnsi="Calibri" w:cs="Times New Roman"/>
          <w:color w:val="000000"/>
          <w:sz w:val="20"/>
          <w:szCs w:val="20"/>
          <w:lang w:val="en-AU"/>
        </w:rPr>
        <w:t>to</w:t>
      </w:r>
      <w:r w:rsidR="00FF3156" w:rsidRPr="00FF3156">
        <w:rPr>
          <w:rFonts w:ascii="Calibri" w:eastAsia="Times New Roman" w:hAnsi="Calibri" w:cs="Times New Roman"/>
          <w:color w:val="000000"/>
          <w:sz w:val="20"/>
          <w:szCs w:val="20"/>
          <w:lang w:val="en-AU"/>
        </w:rPr>
        <w:t xml:space="preserve"> refin</w:t>
      </w:r>
      <w:r w:rsidR="0052546E">
        <w:rPr>
          <w:rFonts w:ascii="Calibri" w:eastAsia="Times New Roman" w:hAnsi="Calibri" w:cs="Times New Roman"/>
          <w:color w:val="000000"/>
          <w:sz w:val="20"/>
          <w:szCs w:val="20"/>
          <w:lang w:val="en-AU"/>
        </w:rPr>
        <w:t>e</w:t>
      </w:r>
      <w:r w:rsidR="00FF3156" w:rsidRPr="00FF3156">
        <w:rPr>
          <w:rFonts w:ascii="Calibri" w:eastAsia="Times New Roman" w:hAnsi="Calibri" w:cs="Times New Roman"/>
          <w:color w:val="000000"/>
          <w:sz w:val="20"/>
          <w:szCs w:val="20"/>
          <w:lang w:val="en-AU"/>
        </w:rPr>
        <w:t xml:space="preserve"> their innovation models.</w:t>
      </w:r>
      <w:r w:rsidR="00FF3156">
        <w:rPr>
          <w:rFonts w:ascii="Calibri" w:eastAsia="Times New Roman" w:hAnsi="Calibri" w:cs="Times New Roman"/>
          <w:color w:val="000000"/>
          <w:sz w:val="20"/>
          <w:szCs w:val="20"/>
          <w:lang w:val="en-AU"/>
        </w:rPr>
        <w:t xml:space="preserve"> This had a transformative impact on one</w:t>
      </w:r>
      <w:r w:rsidR="00FF3156" w:rsidRPr="00FF3156">
        <w:rPr>
          <w:rFonts w:ascii="Calibri" w:eastAsia="Times New Roman" w:hAnsi="Calibri" w:cs="Times New Roman"/>
          <w:color w:val="000000"/>
          <w:sz w:val="20"/>
          <w:szCs w:val="20"/>
          <w:lang w:val="en-AU"/>
        </w:rPr>
        <w:t xml:space="preserve"> grantee</w:t>
      </w:r>
      <w:r w:rsidR="00855723">
        <w:rPr>
          <w:rFonts w:ascii="Calibri" w:eastAsia="Times New Roman" w:hAnsi="Calibri" w:cs="Times New Roman"/>
          <w:color w:val="000000"/>
          <w:sz w:val="20"/>
          <w:szCs w:val="20"/>
          <w:lang w:val="en-AU"/>
        </w:rPr>
        <w:t xml:space="preserve"> in particular</w:t>
      </w:r>
      <w:r w:rsidR="00FF3156" w:rsidRPr="00FF3156">
        <w:rPr>
          <w:rFonts w:ascii="Calibri" w:eastAsia="Times New Roman" w:hAnsi="Calibri" w:cs="Times New Roman"/>
          <w:color w:val="000000"/>
          <w:sz w:val="20"/>
          <w:szCs w:val="20"/>
          <w:lang w:val="en-AU"/>
        </w:rPr>
        <w:t xml:space="preserve">, </w:t>
      </w:r>
      <w:hyperlink r:id="rId37" w:history="1">
        <w:r w:rsidR="00FF3156" w:rsidRPr="00217040">
          <w:rPr>
            <w:rStyle w:val="Hyperlink"/>
            <w:rFonts w:ascii="Calibri" w:eastAsia="Times New Roman" w:hAnsi="Calibri" w:cs="Times New Roman"/>
            <w:sz w:val="20"/>
            <w:szCs w:val="20"/>
            <w:lang w:val="en-AU"/>
          </w:rPr>
          <w:t>MeWe International</w:t>
        </w:r>
      </w:hyperlink>
      <w:r w:rsidR="00FF3156" w:rsidRPr="00FF3156">
        <w:rPr>
          <w:rFonts w:ascii="Calibri" w:eastAsia="Times New Roman" w:hAnsi="Calibri" w:cs="Times New Roman"/>
          <w:color w:val="000000"/>
          <w:sz w:val="20"/>
          <w:szCs w:val="20"/>
          <w:lang w:val="en-AU"/>
        </w:rPr>
        <w:t xml:space="preserve">, </w:t>
      </w:r>
      <w:r w:rsidR="00FF3156">
        <w:rPr>
          <w:rFonts w:ascii="Calibri" w:eastAsia="Times New Roman" w:hAnsi="Calibri" w:cs="Times New Roman"/>
          <w:color w:val="000000"/>
          <w:sz w:val="20"/>
          <w:szCs w:val="20"/>
          <w:lang w:val="en-AU"/>
        </w:rPr>
        <w:t>who c</w:t>
      </w:r>
      <w:r w:rsidR="00FF3156" w:rsidRPr="00FF3156">
        <w:rPr>
          <w:rFonts w:ascii="Calibri" w:eastAsia="Times New Roman" w:hAnsi="Calibri" w:cs="Times New Roman"/>
          <w:color w:val="000000"/>
          <w:sz w:val="20"/>
          <w:szCs w:val="20"/>
          <w:lang w:val="en-AU"/>
        </w:rPr>
        <w:t xml:space="preserve">hanged their delivery model from direct service provision to a train the trainer </w:t>
      </w:r>
      <w:r w:rsidR="00FF3156">
        <w:rPr>
          <w:rFonts w:ascii="Calibri" w:eastAsia="Times New Roman" w:hAnsi="Calibri" w:cs="Times New Roman"/>
          <w:color w:val="000000"/>
          <w:sz w:val="20"/>
          <w:szCs w:val="20"/>
          <w:lang w:val="en-AU"/>
        </w:rPr>
        <w:t xml:space="preserve">approach that enabled them to reach many more of their target </w:t>
      </w:r>
      <w:r w:rsidR="00E32C95">
        <w:rPr>
          <w:rFonts w:ascii="Calibri" w:eastAsia="Times New Roman" w:hAnsi="Calibri" w:cs="Times New Roman"/>
          <w:color w:val="000000"/>
          <w:sz w:val="20"/>
          <w:szCs w:val="20"/>
          <w:lang w:val="en-AU"/>
        </w:rPr>
        <w:t xml:space="preserve">population of Syrian youths. </w:t>
      </w:r>
    </w:p>
    <w:p w14:paraId="4D4D89CC" w14:textId="090FA2EA" w:rsidR="00FB12EB" w:rsidRPr="007A6BF6" w:rsidRDefault="00FB12EB" w:rsidP="00FB12EB">
      <w:pPr>
        <w:spacing w:after="80"/>
        <w:jc w:val="both"/>
        <w:rPr>
          <w:rFonts w:ascii="Calibri" w:eastAsia="Times New Roman" w:hAnsi="Calibri" w:cs="Times New Roman"/>
          <w:color w:val="000000"/>
          <w:sz w:val="20"/>
          <w:szCs w:val="20"/>
          <w:lang w:val="en-AU"/>
        </w:rPr>
      </w:pPr>
      <w:r w:rsidRPr="007A6BF6">
        <w:rPr>
          <w:rFonts w:ascii="Calibri" w:eastAsia="Times New Roman" w:hAnsi="Calibri" w:cs="Times New Roman"/>
          <w:color w:val="000000"/>
          <w:sz w:val="20"/>
          <w:szCs w:val="20"/>
          <w:lang w:val="en-AU"/>
        </w:rPr>
        <w:lastRenderedPageBreak/>
        <w:t>For those programs where data exists both at early engagement with the iXc and after a year, 26% of programs had advanced at least one stage on the pathway to scale. For example, in 2017-18 the </w:t>
      </w:r>
      <w:hyperlink r:id="rId38" w:tooltip="https://ixc.dfat.gov.au/projects/world-mosquito-program/" w:history="1">
        <w:r w:rsidRPr="007A6BF6">
          <w:rPr>
            <w:rStyle w:val="Hyperlink"/>
            <w:rFonts w:ascii="Calibri" w:hAnsi="Calibri"/>
            <w:sz w:val="20"/>
            <w:szCs w:val="20"/>
            <w:lang w:val="en-AU"/>
          </w:rPr>
          <w:t>World Mosquito Program</w:t>
        </w:r>
      </w:hyperlink>
      <w:r w:rsidRPr="007A6BF6">
        <w:rPr>
          <w:rStyle w:val="Hyperlink"/>
          <w:sz w:val="20"/>
          <w:szCs w:val="20"/>
          <w:lang w:val="en-AU"/>
        </w:rPr>
        <w:t> </w:t>
      </w:r>
      <w:r w:rsidRPr="007A6BF6">
        <w:rPr>
          <w:rFonts w:eastAsia="Times New Roman" w:cs="Times New Roman"/>
          <w:sz w:val="20"/>
          <w:szCs w:val="20"/>
          <w:lang w:val="en-AU"/>
        </w:rPr>
        <w:t> </w:t>
      </w:r>
      <w:r w:rsidRPr="007A6BF6">
        <w:rPr>
          <w:rFonts w:ascii="Calibri" w:eastAsia="Times New Roman" w:hAnsi="Calibri" w:cs="Times New Roman"/>
          <w:color w:val="000000"/>
          <w:sz w:val="20"/>
          <w:szCs w:val="20"/>
          <w:lang w:val="en-AU"/>
        </w:rPr>
        <w:t>transitioned from ‘proof of concept’ to ‘transition to scale’, while the </w:t>
      </w:r>
      <w:hyperlink r:id="rId39" w:tooltip="https://ixc.dfat.gov.au/projects/better-data-for-health-partnership/" w:history="1">
        <w:r w:rsidRPr="007A6BF6">
          <w:rPr>
            <w:rStyle w:val="Hyperlink"/>
            <w:rFonts w:ascii="Calibri" w:hAnsi="Calibri"/>
            <w:sz w:val="20"/>
            <w:szCs w:val="20"/>
            <w:lang w:val="en-AU"/>
          </w:rPr>
          <w:t>Data for Health</w:t>
        </w:r>
      </w:hyperlink>
      <w:r w:rsidRPr="007A6BF6">
        <w:rPr>
          <w:rFonts w:ascii="Calibri" w:eastAsia="Times New Roman" w:hAnsi="Calibri" w:cs="Times New Roman"/>
          <w:color w:val="000000"/>
          <w:sz w:val="20"/>
          <w:szCs w:val="20"/>
          <w:lang w:val="en-AU"/>
        </w:rPr>
        <w:t> and </w:t>
      </w:r>
      <w:hyperlink r:id="rId40" w:history="1">
        <w:r w:rsidRPr="007A6BF6">
          <w:rPr>
            <w:rStyle w:val="Hyperlink"/>
            <w:rFonts w:ascii="Calibri" w:hAnsi="Calibri"/>
            <w:sz w:val="20"/>
            <w:szCs w:val="20"/>
            <w:lang w:val="en-AU"/>
          </w:rPr>
          <w:t>EnerGaia</w:t>
        </w:r>
      </w:hyperlink>
      <w:r w:rsidRPr="007A6BF6">
        <w:rPr>
          <w:rStyle w:val="Hyperlink"/>
          <w:sz w:val="20"/>
          <w:szCs w:val="20"/>
          <w:lang w:val="en-AU"/>
        </w:rPr>
        <w:t> </w:t>
      </w:r>
      <w:r w:rsidRPr="007A6BF6">
        <w:rPr>
          <w:rFonts w:ascii="Calibri" w:eastAsia="Times New Roman" w:hAnsi="Calibri" w:cs="Times New Roman"/>
          <w:color w:val="000000"/>
          <w:sz w:val="20"/>
          <w:szCs w:val="20"/>
          <w:lang w:val="en-AU"/>
        </w:rPr>
        <w:t>initiatives both progressed from ‘proof of concept’ to ‘scaling’. There are fewer examples of the iXc’s direct support (i.e. mentoring and technical advisory services) helping an innovation to reach scale, with the notable exception of the ADA-funded </w:t>
      </w:r>
      <w:hyperlink r:id="rId41" w:history="1">
        <w:r w:rsidRPr="007A6BF6">
          <w:rPr>
            <w:rStyle w:val="Hyperlink"/>
            <w:rFonts w:ascii="Calibri" w:hAnsi="Calibri"/>
            <w:sz w:val="20"/>
            <w:szCs w:val="20"/>
            <w:lang w:val="en-AU"/>
          </w:rPr>
          <w:t>Tupaia</w:t>
        </w:r>
      </w:hyperlink>
      <w:r w:rsidRPr="007A6BF6">
        <w:rPr>
          <w:rFonts w:ascii="Calibri" w:eastAsia="Times New Roman" w:hAnsi="Calibri" w:cs="Times New Roman"/>
          <w:color w:val="000000"/>
          <w:sz w:val="20"/>
          <w:szCs w:val="20"/>
          <w:lang w:val="en-AU"/>
        </w:rPr>
        <w:t> program, which moved from ‘transition to scale’ to ‘scaling’. This is to be expected given the focus on supporting early stage innovations and the fact that the majority of programs were added to the iXc’s portfolio in 2017-18, while more time is typically required to see impact.</w:t>
      </w:r>
    </w:p>
    <w:p w14:paraId="5489739C" w14:textId="27F9B655" w:rsidR="00864FB6" w:rsidRDefault="00864FB6" w:rsidP="00864FB6">
      <w:pPr>
        <w:spacing w:after="80"/>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The extent to which scaling was built into the iXc’s broader strategy and program-level objectives varied. Where early-stage innovations were the focus (in </w:t>
      </w:r>
      <w:r w:rsidRPr="00FA3836">
        <w:rPr>
          <w:rFonts w:ascii="Calibri" w:eastAsia="Times New Roman" w:hAnsi="Calibri" w:cs="Times New Roman"/>
          <w:color w:val="000000"/>
          <w:sz w:val="20"/>
          <w:szCs w:val="20"/>
        </w:rPr>
        <w:t xml:space="preserve">programs such </w:t>
      </w:r>
      <w:r w:rsidRPr="00FE6C89">
        <w:rPr>
          <w:rFonts w:ascii="Calibri" w:eastAsia="Times New Roman" w:hAnsi="Calibri" w:cs="Times New Roman"/>
          <w:color w:val="000000"/>
          <w:sz w:val="20"/>
          <w:szCs w:val="20"/>
        </w:rPr>
        <w:t xml:space="preserve">as </w:t>
      </w:r>
      <w:r w:rsidR="00FE6C89" w:rsidRPr="00FE6C89">
        <w:rPr>
          <w:rFonts w:ascii="Calibri" w:eastAsia="Times New Roman" w:hAnsi="Calibri" w:cs="Times New Roman"/>
          <w:color w:val="000000"/>
          <w:sz w:val="20"/>
          <w:szCs w:val="20"/>
        </w:rPr>
        <w:t xml:space="preserve">the </w:t>
      </w:r>
      <w:hyperlink r:id="rId42" w:history="1">
        <w:r w:rsidR="0021635D" w:rsidRPr="00FE6C89">
          <w:rPr>
            <w:rStyle w:val="Hyperlink"/>
            <w:rFonts w:ascii="Calibri" w:eastAsia="Times New Roman" w:hAnsi="Calibri" w:cs="Times New Roman"/>
            <w:sz w:val="20"/>
            <w:szCs w:val="20"/>
          </w:rPr>
          <w:t>Pacific Humanitarian Challenge</w:t>
        </w:r>
      </w:hyperlink>
      <w:r w:rsidRPr="00FE6C89">
        <w:rPr>
          <w:rFonts w:ascii="Calibri" w:eastAsia="Times New Roman" w:hAnsi="Calibri" w:cs="Times New Roman"/>
          <w:color w:val="000000"/>
          <w:sz w:val="20"/>
          <w:szCs w:val="20"/>
        </w:rPr>
        <w:t xml:space="preserve"> and</w:t>
      </w:r>
      <w:r w:rsidR="00FE6C89" w:rsidRPr="00FE6C89">
        <w:rPr>
          <w:rFonts w:ascii="Calibri" w:eastAsia="Times New Roman" w:hAnsi="Calibri" w:cs="Times New Roman"/>
          <w:color w:val="000000"/>
          <w:sz w:val="20"/>
          <w:szCs w:val="20"/>
        </w:rPr>
        <w:t xml:space="preserve"> the</w:t>
      </w:r>
      <w:r w:rsidRPr="00FE6C89">
        <w:rPr>
          <w:rFonts w:ascii="Calibri" w:eastAsia="Times New Roman" w:hAnsi="Calibri" w:cs="Times New Roman"/>
          <w:color w:val="000000"/>
          <w:sz w:val="20"/>
          <w:szCs w:val="20"/>
        </w:rPr>
        <w:t xml:space="preserve"> </w:t>
      </w:r>
      <w:hyperlink r:id="rId43" w:history="1">
        <w:r w:rsidR="0021635D" w:rsidRPr="00FE6C89">
          <w:rPr>
            <w:rStyle w:val="Hyperlink"/>
            <w:rFonts w:ascii="Calibri" w:eastAsia="Times New Roman" w:hAnsi="Calibri" w:cs="Times New Roman"/>
            <w:sz w:val="20"/>
            <w:szCs w:val="20"/>
          </w:rPr>
          <w:t>MIKT</w:t>
        </w:r>
        <w:r w:rsidR="00FE6C89" w:rsidRPr="00FE6C89">
          <w:rPr>
            <w:rStyle w:val="Hyperlink"/>
            <w:rFonts w:ascii="Calibri" w:eastAsia="Times New Roman" w:hAnsi="Calibri" w:cs="Times New Roman"/>
            <w:sz w:val="20"/>
            <w:szCs w:val="20"/>
          </w:rPr>
          <w:t xml:space="preserve">A </w:t>
        </w:r>
        <w:r w:rsidR="00A03B46">
          <w:rPr>
            <w:rStyle w:val="Hyperlink"/>
            <w:rFonts w:ascii="Calibri" w:eastAsia="Times New Roman" w:hAnsi="Calibri" w:cs="Times New Roman"/>
            <w:sz w:val="20"/>
            <w:szCs w:val="20"/>
          </w:rPr>
          <w:t>C</w:t>
        </w:r>
        <w:r w:rsidR="00FE6C89" w:rsidRPr="00FE6C89">
          <w:rPr>
            <w:rStyle w:val="Hyperlink"/>
            <w:rFonts w:ascii="Calibri" w:eastAsia="Times New Roman" w:hAnsi="Calibri" w:cs="Times New Roman"/>
            <w:sz w:val="20"/>
            <w:szCs w:val="20"/>
          </w:rPr>
          <w:t>hallenge</w:t>
        </w:r>
      </w:hyperlink>
      <w:r w:rsidRPr="00FA3836">
        <w:rPr>
          <w:rFonts w:ascii="Calibri" w:eastAsia="Times New Roman" w:hAnsi="Calibri" w:cs="Times New Roman"/>
          <w:color w:val="000000"/>
          <w:sz w:val="20"/>
          <w:szCs w:val="20"/>
        </w:rPr>
        <w:t>), the po</w:t>
      </w:r>
      <w:r>
        <w:rPr>
          <w:rFonts w:ascii="Calibri" w:eastAsia="Times New Roman" w:hAnsi="Calibri" w:cs="Times New Roman"/>
          <w:color w:val="000000"/>
          <w:sz w:val="20"/>
          <w:szCs w:val="20"/>
        </w:rPr>
        <w:t xml:space="preserve">tential to demonstrate scaling was inevitably relatively low. In some cases, scale was built into program design, but the way in which scaling was proactively supported through implementation was more ambiguous. For instance, in the case of the ADA, while innovation </w:t>
      </w:r>
      <w:r w:rsidRPr="009D32C8">
        <w:rPr>
          <w:rFonts w:ascii="Calibri" w:eastAsia="Times New Roman" w:hAnsi="Calibri" w:cs="Times New Roman"/>
          <w:color w:val="000000"/>
          <w:sz w:val="20"/>
          <w:szCs w:val="20"/>
          <w:lang w:val="en-AU"/>
        </w:rPr>
        <w:t xml:space="preserve">sustainability </w:t>
      </w:r>
      <w:r>
        <w:rPr>
          <w:rFonts w:ascii="Calibri" w:eastAsia="Times New Roman" w:hAnsi="Calibri" w:cs="Times New Roman"/>
          <w:color w:val="000000"/>
          <w:sz w:val="20"/>
          <w:szCs w:val="20"/>
          <w:lang w:val="en-AU"/>
        </w:rPr>
        <w:t>was one of the</w:t>
      </w:r>
      <w:r w:rsidRPr="009D32C8">
        <w:rPr>
          <w:rFonts w:ascii="Calibri" w:eastAsia="Times New Roman" w:hAnsi="Calibri" w:cs="Times New Roman"/>
          <w:color w:val="000000"/>
          <w:sz w:val="20"/>
          <w:szCs w:val="20"/>
          <w:lang w:val="en-AU"/>
        </w:rPr>
        <w:t xml:space="preserve"> criteria for selection</w:t>
      </w:r>
      <w:r>
        <w:rPr>
          <w:rFonts w:ascii="Calibri" w:eastAsia="Times New Roman" w:hAnsi="Calibri" w:cs="Times New Roman"/>
          <w:color w:val="000000"/>
          <w:sz w:val="20"/>
          <w:szCs w:val="20"/>
          <w:lang w:val="en-AU"/>
        </w:rPr>
        <w:t xml:space="preserve">, </w:t>
      </w:r>
      <w:r w:rsidRPr="009D32C8">
        <w:rPr>
          <w:rFonts w:ascii="Calibri" w:eastAsia="Times New Roman" w:hAnsi="Calibri" w:cs="Times New Roman"/>
          <w:color w:val="000000"/>
          <w:sz w:val="20"/>
          <w:szCs w:val="20"/>
          <w:lang w:val="en-AU"/>
        </w:rPr>
        <w:t xml:space="preserve">the ADA's role in supporting innovations post-award </w:t>
      </w:r>
      <w:r>
        <w:rPr>
          <w:rFonts w:ascii="Calibri" w:eastAsia="Times New Roman" w:hAnsi="Calibri" w:cs="Times New Roman"/>
          <w:color w:val="000000"/>
          <w:sz w:val="20"/>
          <w:szCs w:val="20"/>
          <w:lang w:val="en-AU"/>
        </w:rPr>
        <w:t>was</w:t>
      </w:r>
      <w:r w:rsidRPr="009D32C8">
        <w:rPr>
          <w:rFonts w:ascii="Calibri" w:eastAsia="Times New Roman" w:hAnsi="Calibri" w:cs="Times New Roman"/>
          <w:color w:val="000000"/>
          <w:sz w:val="20"/>
          <w:szCs w:val="20"/>
          <w:lang w:val="en-AU"/>
        </w:rPr>
        <w:t xml:space="preserve"> unclear</w:t>
      </w:r>
      <w:r>
        <w:rPr>
          <w:rFonts w:ascii="Calibri" w:eastAsia="Times New Roman" w:hAnsi="Calibri" w:cs="Times New Roman"/>
          <w:color w:val="000000"/>
          <w:sz w:val="20"/>
          <w:szCs w:val="20"/>
          <w:lang w:val="en-AU"/>
        </w:rPr>
        <w:t xml:space="preserve"> and innovators </w:t>
      </w:r>
      <w:r w:rsidRPr="009D32C8">
        <w:rPr>
          <w:rFonts w:ascii="Calibri" w:eastAsia="Times New Roman" w:hAnsi="Calibri" w:cs="Times New Roman"/>
          <w:color w:val="000000"/>
          <w:sz w:val="20"/>
          <w:szCs w:val="20"/>
          <w:lang w:val="en-AU"/>
        </w:rPr>
        <w:t xml:space="preserve">expressed interest in </w:t>
      </w:r>
      <w:r>
        <w:rPr>
          <w:rFonts w:ascii="Calibri" w:eastAsia="Times New Roman" w:hAnsi="Calibri" w:cs="Times New Roman"/>
          <w:color w:val="000000"/>
          <w:sz w:val="20"/>
          <w:szCs w:val="20"/>
          <w:lang w:val="en-AU"/>
        </w:rPr>
        <w:t>being connected to</w:t>
      </w:r>
      <w:r w:rsidRPr="009D32C8">
        <w:rPr>
          <w:rFonts w:ascii="Calibri" w:eastAsia="Times New Roman" w:hAnsi="Calibri" w:cs="Times New Roman"/>
          <w:color w:val="000000"/>
          <w:sz w:val="20"/>
          <w:szCs w:val="20"/>
          <w:lang w:val="en-AU"/>
        </w:rPr>
        <w:t xml:space="preserve"> </w:t>
      </w:r>
      <w:r>
        <w:rPr>
          <w:rFonts w:ascii="Calibri" w:eastAsia="Times New Roman" w:hAnsi="Calibri" w:cs="Times New Roman"/>
          <w:color w:val="000000"/>
          <w:sz w:val="20"/>
          <w:szCs w:val="20"/>
          <w:lang w:val="en-AU"/>
        </w:rPr>
        <w:t>further</w:t>
      </w:r>
      <w:r w:rsidRPr="009D32C8">
        <w:rPr>
          <w:rFonts w:ascii="Calibri" w:eastAsia="Times New Roman" w:hAnsi="Calibri" w:cs="Times New Roman"/>
          <w:color w:val="000000"/>
          <w:sz w:val="20"/>
          <w:szCs w:val="20"/>
          <w:lang w:val="en-AU"/>
        </w:rPr>
        <w:t xml:space="preserve"> funding support or related scaling expertise.</w:t>
      </w:r>
      <w:r>
        <w:rPr>
          <w:rFonts w:ascii="Calibri" w:eastAsia="Times New Roman" w:hAnsi="Calibri" w:cs="Times New Roman"/>
          <w:color w:val="000000"/>
          <w:sz w:val="20"/>
          <w:szCs w:val="20"/>
          <w:lang w:val="en-AU"/>
        </w:rPr>
        <w:t xml:space="preserve"> </w:t>
      </w:r>
      <w:r w:rsidRPr="00CB494B">
        <w:rPr>
          <w:rFonts w:ascii="Calibri" w:eastAsia="Times New Roman" w:hAnsi="Calibri" w:cs="Times New Roman"/>
          <w:color w:val="000000"/>
          <w:sz w:val="20"/>
          <w:szCs w:val="20"/>
          <w:lang w:val="en-AU"/>
        </w:rPr>
        <w:t xml:space="preserve">On the other hand, programs such as </w:t>
      </w:r>
      <w:hyperlink r:id="rId44" w:history="1">
        <w:r w:rsidRPr="00170941">
          <w:rPr>
            <w:rStyle w:val="Hyperlink"/>
            <w:rFonts w:ascii="Calibri" w:eastAsia="Times New Roman" w:hAnsi="Calibri" w:cs="Times New Roman"/>
            <w:sz w:val="20"/>
            <w:szCs w:val="20"/>
            <w:lang w:val="en-AU"/>
          </w:rPr>
          <w:t>Frontier Innovators</w:t>
        </w:r>
      </w:hyperlink>
      <w:r>
        <w:rPr>
          <w:rFonts w:ascii="Calibri" w:eastAsia="Times New Roman" w:hAnsi="Calibri" w:cs="Times New Roman"/>
          <w:color w:val="000000"/>
          <w:sz w:val="20"/>
          <w:szCs w:val="20"/>
          <w:lang w:val="en-AU"/>
        </w:rPr>
        <w:t xml:space="preserve"> appeared to be m</w:t>
      </w:r>
      <w:r w:rsidRPr="00CB494B">
        <w:rPr>
          <w:rFonts w:ascii="Calibri" w:eastAsia="Times New Roman" w:hAnsi="Calibri" w:cs="Times New Roman"/>
          <w:color w:val="000000"/>
          <w:sz w:val="20"/>
          <w:szCs w:val="20"/>
          <w:lang w:val="en-AU"/>
        </w:rPr>
        <w:t>ore successful in this regard, specifically targeting</w:t>
      </w:r>
      <w:r>
        <w:rPr>
          <w:rFonts w:ascii="Calibri" w:eastAsia="Times New Roman" w:hAnsi="Calibri" w:cs="Times New Roman"/>
          <w:color w:val="000000"/>
          <w:sz w:val="20"/>
          <w:szCs w:val="20"/>
          <w:lang w:val="en-AU"/>
        </w:rPr>
        <w:t xml:space="preserve"> later stage</w:t>
      </w:r>
      <w:r w:rsidRPr="00CB494B">
        <w:rPr>
          <w:rFonts w:ascii="Calibri" w:eastAsia="Times New Roman" w:hAnsi="Calibri" w:cs="Times New Roman"/>
          <w:color w:val="000000"/>
          <w:sz w:val="20"/>
          <w:szCs w:val="20"/>
          <w:lang w:val="en-AU"/>
        </w:rPr>
        <w:t xml:space="preserve"> innovation</w:t>
      </w:r>
      <w:r>
        <w:rPr>
          <w:rFonts w:ascii="Calibri" w:eastAsia="Times New Roman" w:hAnsi="Calibri" w:cs="Times New Roman"/>
          <w:color w:val="000000"/>
          <w:sz w:val="20"/>
          <w:szCs w:val="20"/>
          <w:lang w:val="en-AU"/>
        </w:rPr>
        <w:t>s that had already been launched in the market and had demonstrated significant progress along the scaling pathway.</w:t>
      </w:r>
    </w:p>
    <w:p w14:paraId="2A833586" w14:textId="0E6F64CA" w:rsidR="00B442E5" w:rsidRPr="00682AB7" w:rsidRDefault="00864FB6" w:rsidP="00864FB6">
      <w:pPr>
        <w:spacing w:after="80"/>
        <w:jc w:val="both"/>
        <w:rPr>
          <w:rFonts w:ascii="Calibri" w:eastAsia="Times New Roman" w:hAnsi="Calibri" w:cs="Times New Roman"/>
          <w:color w:val="000000"/>
          <w:sz w:val="20"/>
          <w:szCs w:val="20"/>
        </w:rPr>
      </w:pPr>
      <w:r w:rsidRPr="001E2B1A">
        <w:rPr>
          <w:b/>
          <w:color w:val="00A6B6" w:themeColor="accent1"/>
          <w:sz w:val="20"/>
          <w:szCs w:val="20"/>
        </w:rPr>
        <w:t>Recommendations:</w:t>
      </w:r>
      <w:r w:rsidRPr="001E2B1A">
        <w:rPr>
          <w:color w:val="00A6B6" w:themeColor="accent1"/>
          <w:sz w:val="20"/>
          <w:szCs w:val="20"/>
        </w:rPr>
        <w:t xml:space="preserve"> </w:t>
      </w:r>
      <w:r w:rsidR="00120D39" w:rsidRPr="00120D39">
        <w:rPr>
          <w:rFonts w:ascii="Calibri" w:eastAsia="Times New Roman" w:hAnsi="Calibri" w:cs="Times New Roman"/>
          <w:color w:val="000000"/>
          <w:sz w:val="20"/>
          <w:szCs w:val="20"/>
        </w:rPr>
        <w:t>In continuing to support innovators to reach sustainable scale, the iXc should:</w:t>
      </w:r>
    </w:p>
    <w:p w14:paraId="05B3AFC4" w14:textId="61F35A52" w:rsidR="00057CF6" w:rsidRPr="00682AB7" w:rsidRDefault="00B442E5" w:rsidP="0055345A">
      <w:pPr>
        <w:pStyle w:val="ListParagraph"/>
        <w:numPr>
          <w:ilvl w:val="0"/>
          <w:numId w:val="16"/>
        </w:numPr>
        <w:spacing w:before="0" w:beforeAutospacing="0"/>
        <w:jc w:val="both"/>
        <w:rPr>
          <w:rFonts w:ascii="Calibri" w:hAnsi="Calibri"/>
          <w:color w:val="000000"/>
          <w:sz w:val="20"/>
          <w:szCs w:val="20"/>
          <w:lang w:val="en-AU"/>
        </w:rPr>
      </w:pPr>
      <w:r w:rsidRPr="00682AB7">
        <w:rPr>
          <w:rFonts w:ascii="Calibri" w:hAnsi="Calibri"/>
          <w:color w:val="000000"/>
          <w:sz w:val="20"/>
          <w:szCs w:val="20"/>
        </w:rPr>
        <w:t>S</w:t>
      </w:r>
      <w:r w:rsidR="00864FB6" w:rsidRPr="00682AB7">
        <w:rPr>
          <w:rFonts w:ascii="Calibri" w:hAnsi="Calibri"/>
          <w:color w:val="000000"/>
          <w:sz w:val="20"/>
          <w:szCs w:val="20"/>
        </w:rPr>
        <w:t xml:space="preserve">eek to </w:t>
      </w:r>
      <w:r w:rsidR="00864FB6" w:rsidRPr="00682AB7">
        <w:rPr>
          <w:rFonts w:ascii="Calibri" w:hAnsi="Calibri"/>
          <w:b/>
          <w:color w:val="000000"/>
          <w:sz w:val="20"/>
          <w:szCs w:val="20"/>
        </w:rPr>
        <w:t>articulate a clearer agenda around scaling</w:t>
      </w:r>
      <w:r w:rsidR="00864FB6" w:rsidRPr="00682AB7">
        <w:rPr>
          <w:rFonts w:ascii="Calibri" w:hAnsi="Calibri"/>
          <w:color w:val="000000"/>
          <w:sz w:val="20"/>
          <w:szCs w:val="20"/>
        </w:rPr>
        <w:t>, both in terms of the prominence/priority it is afforded in the overall strategy, as well as the mechanisms through which the iXc is able to support it. This could include consideration of the extent to which the iXc will focus on referrals and facilitating links to external scaling partners versus supporting innovators directly</w:t>
      </w:r>
      <w:r w:rsidR="00057CF6" w:rsidRPr="00682AB7">
        <w:rPr>
          <w:rFonts w:ascii="Calibri" w:hAnsi="Calibri"/>
          <w:color w:val="000000"/>
          <w:sz w:val="20"/>
          <w:szCs w:val="20"/>
        </w:rPr>
        <w:t>;</w:t>
      </w:r>
    </w:p>
    <w:p w14:paraId="51EA6614" w14:textId="506E0161" w:rsidR="00057CF6" w:rsidRPr="00682AB7" w:rsidRDefault="00057CF6" w:rsidP="009349B6">
      <w:pPr>
        <w:pStyle w:val="ListParagraph"/>
        <w:numPr>
          <w:ilvl w:val="0"/>
          <w:numId w:val="16"/>
        </w:numPr>
        <w:spacing w:after="80"/>
        <w:jc w:val="both"/>
        <w:rPr>
          <w:rFonts w:ascii="Calibri" w:hAnsi="Calibri"/>
          <w:color w:val="000000"/>
          <w:sz w:val="20"/>
          <w:szCs w:val="20"/>
          <w:lang w:val="en-AU"/>
        </w:rPr>
      </w:pPr>
      <w:r w:rsidRPr="00682AB7">
        <w:rPr>
          <w:rFonts w:ascii="Calibri" w:hAnsi="Calibri"/>
          <w:b/>
          <w:color w:val="000000"/>
          <w:sz w:val="20"/>
          <w:szCs w:val="20"/>
        </w:rPr>
        <w:t>Focus on scaling development impact, rather than building capacity of innovators</w:t>
      </w:r>
      <w:r w:rsidRPr="00682AB7">
        <w:rPr>
          <w:rFonts w:ascii="Calibri" w:hAnsi="Calibri"/>
          <w:color w:val="000000"/>
          <w:sz w:val="20"/>
          <w:szCs w:val="20"/>
        </w:rPr>
        <w:t xml:space="preserve"> w</w:t>
      </w:r>
      <w:r w:rsidR="00864FB6" w:rsidRPr="00682AB7">
        <w:rPr>
          <w:rFonts w:ascii="Calibri" w:hAnsi="Calibri"/>
          <w:color w:val="000000"/>
          <w:sz w:val="20"/>
          <w:szCs w:val="20"/>
        </w:rPr>
        <w:t xml:space="preserve">hen supporting the scaling of </w:t>
      </w:r>
      <w:r w:rsidR="00682AB7" w:rsidRPr="00682AB7">
        <w:rPr>
          <w:rFonts w:ascii="Calibri" w:hAnsi="Calibri"/>
          <w:color w:val="000000"/>
          <w:sz w:val="20"/>
          <w:szCs w:val="20"/>
        </w:rPr>
        <w:t>‘</w:t>
      </w:r>
      <w:r w:rsidR="00864FB6" w:rsidRPr="00682AB7">
        <w:rPr>
          <w:rFonts w:ascii="Calibri" w:hAnsi="Calibri"/>
          <w:color w:val="000000"/>
          <w:sz w:val="20"/>
          <w:szCs w:val="20"/>
        </w:rPr>
        <w:t>retail</w:t>
      </w:r>
      <w:r w:rsidR="00682AB7" w:rsidRPr="00682AB7">
        <w:rPr>
          <w:rFonts w:ascii="Calibri" w:hAnsi="Calibri"/>
          <w:color w:val="000000"/>
          <w:sz w:val="20"/>
          <w:szCs w:val="20"/>
        </w:rPr>
        <w:t>’</w:t>
      </w:r>
      <w:r w:rsidR="00864FB6" w:rsidRPr="00682AB7">
        <w:rPr>
          <w:rFonts w:ascii="Calibri" w:hAnsi="Calibri"/>
          <w:color w:val="000000"/>
          <w:sz w:val="20"/>
          <w:szCs w:val="20"/>
        </w:rPr>
        <w:t xml:space="preserve"> (commercial product) innovations</w:t>
      </w:r>
      <w:r w:rsidRPr="00682AB7">
        <w:rPr>
          <w:rFonts w:ascii="Calibri" w:hAnsi="Calibri"/>
          <w:color w:val="000000"/>
          <w:sz w:val="20"/>
          <w:szCs w:val="20"/>
        </w:rPr>
        <w:t xml:space="preserve">. The iXc should </w:t>
      </w:r>
      <w:r w:rsidR="00864FB6" w:rsidRPr="00682AB7">
        <w:rPr>
          <w:rFonts w:ascii="Calibri" w:hAnsi="Calibri"/>
          <w:color w:val="000000"/>
          <w:sz w:val="20"/>
          <w:szCs w:val="20"/>
        </w:rPr>
        <w:t>encourage a sharper focus amongst innovators on benefiting the iXc’s target populations, particularly where those innovators have less knowledge or experience of development contexts</w:t>
      </w:r>
      <w:r w:rsidRPr="00682AB7">
        <w:rPr>
          <w:rFonts w:ascii="Calibri" w:hAnsi="Calibri"/>
          <w:color w:val="000000"/>
          <w:sz w:val="20"/>
          <w:szCs w:val="20"/>
        </w:rPr>
        <w:t>;</w:t>
      </w:r>
    </w:p>
    <w:p w14:paraId="72D5F985" w14:textId="7479EC7C" w:rsidR="00057CF6" w:rsidRPr="00682AB7" w:rsidRDefault="00057CF6" w:rsidP="009349B6">
      <w:pPr>
        <w:pStyle w:val="ListParagraph"/>
        <w:numPr>
          <w:ilvl w:val="0"/>
          <w:numId w:val="16"/>
        </w:numPr>
        <w:spacing w:after="80"/>
        <w:jc w:val="both"/>
        <w:rPr>
          <w:rFonts w:ascii="Calibri" w:hAnsi="Calibri"/>
          <w:color w:val="000000"/>
          <w:sz w:val="20"/>
          <w:szCs w:val="20"/>
          <w:lang w:val="en-AU"/>
        </w:rPr>
      </w:pPr>
      <w:r w:rsidRPr="00682AB7">
        <w:rPr>
          <w:rFonts w:ascii="Calibri" w:hAnsi="Calibri"/>
          <w:color w:val="000000"/>
          <w:sz w:val="20"/>
          <w:szCs w:val="20"/>
        </w:rPr>
        <w:t>Consider</w:t>
      </w:r>
      <w:r w:rsidR="00864FB6" w:rsidRPr="00682AB7">
        <w:rPr>
          <w:rFonts w:ascii="Calibri" w:hAnsi="Calibri"/>
          <w:color w:val="000000"/>
          <w:sz w:val="20"/>
          <w:szCs w:val="20"/>
        </w:rPr>
        <w:t xml:space="preserve"> the extent to which the iXc should maintain its focus on scaling specific innovations, versus contributing to the </w:t>
      </w:r>
      <w:r w:rsidR="00864FB6" w:rsidRPr="00682AB7">
        <w:rPr>
          <w:rFonts w:ascii="Calibri" w:hAnsi="Calibri"/>
          <w:b/>
          <w:color w:val="000000"/>
          <w:sz w:val="20"/>
          <w:szCs w:val="20"/>
        </w:rPr>
        <w:t>development of a supportive ecosystem</w:t>
      </w:r>
      <w:r w:rsidR="00864FB6" w:rsidRPr="00682AB7">
        <w:rPr>
          <w:rFonts w:ascii="Calibri" w:hAnsi="Calibri"/>
          <w:color w:val="000000"/>
          <w:sz w:val="20"/>
          <w:szCs w:val="20"/>
        </w:rPr>
        <w:t xml:space="preserve"> which can, in turn, indirectly support a wider cohort of innovators to achieve scale</w:t>
      </w:r>
      <w:r w:rsidRPr="00682AB7">
        <w:rPr>
          <w:rFonts w:ascii="Calibri" w:hAnsi="Calibri"/>
          <w:color w:val="000000"/>
          <w:sz w:val="20"/>
          <w:szCs w:val="20"/>
        </w:rPr>
        <w:t>; and</w:t>
      </w:r>
    </w:p>
    <w:p w14:paraId="67CBCC41" w14:textId="5F4B9490" w:rsidR="00864FB6" w:rsidRPr="00682AB7" w:rsidRDefault="00057CF6" w:rsidP="009349B6">
      <w:pPr>
        <w:pStyle w:val="ListParagraph"/>
        <w:numPr>
          <w:ilvl w:val="0"/>
          <w:numId w:val="16"/>
        </w:numPr>
        <w:spacing w:after="80"/>
        <w:jc w:val="both"/>
        <w:rPr>
          <w:rFonts w:ascii="Calibri" w:hAnsi="Calibri"/>
          <w:color w:val="000000"/>
          <w:sz w:val="20"/>
          <w:szCs w:val="20"/>
          <w:lang w:val="en-AU"/>
        </w:rPr>
      </w:pPr>
      <w:r w:rsidRPr="00682AB7">
        <w:rPr>
          <w:rFonts w:ascii="Calibri" w:hAnsi="Calibri"/>
          <w:b/>
          <w:color w:val="000000"/>
          <w:sz w:val="20"/>
          <w:szCs w:val="20"/>
        </w:rPr>
        <w:t>F</w:t>
      </w:r>
      <w:r w:rsidR="00864FB6" w:rsidRPr="00682AB7">
        <w:rPr>
          <w:rFonts w:ascii="Calibri" w:hAnsi="Calibri"/>
          <w:b/>
          <w:color w:val="000000"/>
          <w:sz w:val="20"/>
          <w:szCs w:val="20"/>
        </w:rPr>
        <w:t>ormally adopt the IDIA scaling framework</w:t>
      </w:r>
      <w:r w:rsidR="00864FB6" w:rsidRPr="00682AB7">
        <w:rPr>
          <w:rFonts w:ascii="Calibri" w:hAnsi="Calibri"/>
          <w:color w:val="000000"/>
          <w:sz w:val="20"/>
          <w:szCs w:val="20"/>
        </w:rPr>
        <w:t xml:space="preserve"> to enable consistent internal tracking and reporting of innovations. </w:t>
      </w:r>
    </w:p>
    <w:p w14:paraId="44C4D602" w14:textId="2DBECF3F" w:rsidR="00FA1771" w:rsidRPr="008A73CD" w:rsidRDefault="008A73CD" w:rsidP="001F2786">
      <w:pPr>
        <w:pStyle w:val="Heading2"/>
        <w:jc w:val="both"/>
      </w:pPr>
      <w:r w:rsidRPr="008A73CD">
        <w:t xml:space="preserve">Encouraging innovation </w:t>
      </w:r>
      <w:r w:rsidR="00F3490C">
        <w:t>across DFAT’s aid program</w:t>
      </w:r>
    </w:p>
    <w:p w14:paraId="73E8ED44" w14:textId="4CEF44C6" w:rsidR="007643B9" w:rsidRPr="00F656F2" w:rsidRDefault="009E46D6" w:rsidP="001F2786">
      <w:pPr>
        <w:pStyle w:val="Default"/>
        <w:spacing w:after="80"/>
        <w:jc w:val="both"/>
        <w:rPr>
          <w:sz w:val="20"/>
          <w:szCs w:val="20"/>
          <w:lang w:val="en-AU"/>
        </w:rPr>
      </w:pPr>
      <w:r>
        <w:rPr>
          <w:sz w:val="20"/>
          <w:szCs w:val="20"/>
          <w:lang w:val="en-AU"/>
        </w:rPr>
        <w:t>T</w:t>
      </w:r>
      <w:r w:rsidR="007E4A72">
        <w:rPr>
          <w:sz w:val="20"/>
          <w:szCs w:val="20"/>
          <w:lang w:val="en-AU"/>
        </w:rPr>
        <w:t>he programs managed by the</w:t>
      </w:r>
      <w:r w:rsidR="007E4A72" w:rsidRPr="00F656F2">
        <w:rPr>
          <w:sz w:val="20"/>
          <w:szCs w:val="20"/>
          <w:lang w:val="en-AU"/>
        </w:rPr>
        <w:t xml:space="preserve"> </w:t>
      </w:r>
      <w:r w:rsidR="007643B9" w:rsidRPr="00F656F2">
        <w:rPr>
          <w:sz w:val="20"/>
          <w:szCs w:val="20"/>
          <w:lang w:val="en-AU"/>
        </w:rPr>
        <w:t xml:space="preserve">iXc </w:t>
      </w:r>
      <w:r w:rsidR="007E4A72">
        <w:rPr>
          <w:sz w:val="20"/>
          <w:szCs w:val="20"/>
          <w:lang w:val="en-AU"/>
        </w:rPr>
        <w:t>were developed with</w:t>
      </w:r>
      <w:r w:rsidR="007E4A72" w:rsidRPr="00F656F2">
        <w:rPr>
          <w:sz w:val="20"/>
          <w:szCs w:val="20"/>
          <w:lang w:val="en-AU"/>
        </w:rPr>
        <w:t xml:space="preserve"> </w:t>
      </w:r>
      <w:r w:rsidR="00FC314B">
        <w:rPr>
          <w:sz w:val="20"/>
          <w:szCs w:val="20"/>
          <w:lang w:val="en-AU"/>
        </w:rPr>
        <w:t>extensive engagement from</w:t>
      </w:r>
      <w:r w:rsidR="007E4A72">
        <w:rPr>
          <w:sz w:val="20"/>
          <w:szCs w:val="20"/>
          <w:lang w:val="en-AU"/>
        </w:rPr>
        <w:t xml:space="preserve"> relevant</w:t>
      </w:r>
      <w:r w:rsidR="007643B9" w:rsidRPr="00F656F2">
        <w:rPr>
          <w:sz w:val="20"/>
          <w:szCs w:val="20"/>
          <w:lang w:val="en-AU"/>
        </w:rPr>
        <w:t xml:space="preserve"> divisions </w:t>
      </w:r>
      <w:r w:rsidR="00FC314B">
        <w:rPr>
          <w:sz w:val="20"/>
          <w:szCs w:val="20"/>
          <w:lang w:val="en-AU"/>
        </w:rPr>
        <w:t xml:space="preserve">and posts </w:t>
      </w:r>
      <w:r w:rsidR="007E4A72">
        <w:rPr>
          <w:sz w:val="20"/>
          <w:szCs w:val="20"/>
          <w:lang w:val="en-AU"/>
        </w:rPr>
        <w:t>in</w:t>
      </w:r>
      <w:r w:rsidR="007E4A72" w:rsidRPr="00F656F2">
        <w:rPr>
          <w:sz w:val="20"/>
          <w:szCs w:val="20"/>
          <w:lang w:val="en-AU"/>
        </w:rPr>
        <w:t xml:space="preserve"> </w:t>
      </w:r>
      <w:r w:rsidR="007643B9" w:rsidRPr="00F656F2">
        <w:rPr>
          <w:sz w:val="20"/>
          <w:szCs w:val="20"/>
          <w:lang w:val="en-AU"/>
        </w:rPr>
        <w:t xml:space="preserve">DFAT </w:t>
      </w:r>
      <w:r w:rsidR="007E4A72">
        <w:rPr>
          <w:sz w:val="20"/>
          <w:szCs w:val="20"/>
          <w:lang w:val="en-AU"/>
        </w:rPr>
        <w:t>to ensure work brought relevant new thinking and knowledge to DFAT’s policies and programs</w:t>
      </w:r>
      <w:r w:rsidR="00062CC4">
        <w:rPr>
          <w:sz w:val="20"/>
          <w:szCs w:val="20"/>
          <w:lang w:val="en-AU"/>
        </w:rPr>
        <w:t>. This approach also involved sectoral</w:t>
      </w:r>
      <w:r>
        <w:rPr>
          <w:sz w:val="20"/>
          <w:szCs w:val="20"/>
          <w:lang w:val="en-AU"/>
        </w:rPr>
        <w:t xml:space="preserve"> </w:t>
      </w:r>
      <w:r w:rsidR="00062CC4">
        <w:rPr>
          <w:sz w:val="20"/>
          <w:szCs w:val="20"/>
          <w:lang w:val="en-AU"/>
        </w:rPr>
        <w:t>teams</w:t>
      </w:r>
      <w:r>
        <w:rPr>
          <w:sz w:val="20"/>
          <w:szCs w:val="20"/>
          <w:lang w:val="en-AU"/>
        </w:rPr>
        <w:t xml:space="preserve"> during implementation with a view to scaling the most successful ideas through </w:t>
      </w:r>
      <w:r w:rsidR="00FC314B">
        <w:rPr>
          <w:sz w:val="20"/>
          <w:szCs w:val="20"/>
          <w:lang w:val="en-AU"/>
        </w:rPr>
        <w:t>contributions</w:t>
      </w:r>
      <w:r>
        <w:rPr>
          <w:sz w:val="20"/>
          <w:szCs w:val="20"/>
          <w:lang w:val="en-AU"/>
        </w:rPr>
        <w:t xml:space="preserve"> from the non-iXc DFAT aid budget</w:t>
      </w:r>
      <w:r w:rsidR="007E4A72">
        <w:rPr>
          <w:sz w:val="20"/>
          <w:szCs w:val="20"/>
          <w:lang w:val="en-AU"/>
        </w:rPr>
        <w:t xml:space="preserve">. </w:t>
      </w:r>
      <w:r w:rsidR="007643B9" w:rsidRPr="00F656F2">
        <w:rPr>
          <w:sz w:val="20"/>
          <w:szCs w:val="20"/>
          <w:lang w:val="en-AU"/>
        </w:rPr>
        <w:t xml:space="preserve">Examples include: </w:t>
      </w:r>
    </w:p>
    <w:p w14:paraId="49E3348D" w14:textId="0D0B92C5" w:rsidR="007643B9" w:rsidRPr="00F656F2" w:rsidRDefault="007643B9" w:rsidP="009349B6">
      <w:pPr>
        <w:pStyle w:val="Default"/>
        <w:numPr>
          <w:ilvl w:val="0"/>
          <w:numId w:val="5"/>
        </w:numPr>
        <w:spacing w:after="80"/>
        <w:jc w:val="both"/>
        <w:rPr>
          <w:sz w:val="20"/>
          <w:szCs w:val="20"/>
          <w:lang w:val="en-AU"/>
        </w:rPr>
      </w:pPr>
      <w:r w:rsidRPr="00F656F2">
        <w:rPr>
          <w:sz w:val="20"/>
          <w:szCs w:val="20"/>
          <w:lang w:val="en-AU"/>
        </w:rPr>
        <w:t>Finding complementarities and connections between iXc programs</w:t>
      </w:r>
      <w:r w:rsidR="00710548">
        <w:rPr>
          <w:sz w:val="20"/>
          <w:szCs w:val="20"/>
          <w:lang w:val="en-AU"/>
        </w:rPr>
        <w:t xml:space="preserve">, such as creating </w:t>
      </w:r>
      <w:r w:rsidRPr="00F656F2">
        <w:rPr>
          <w:sz w:val="20"/>
          <w:szCs w:val="20"/>
          <w:lang w:val="en-AU"/>
        </w:rPr>
        <w:t xml:space="preserve">learning opportunities </w:t>
      </w:r>
      <w:r w:rsidR="00710548">
        <w:rPr>
          <w:sz w:val="20"/>
          <w:szCs w:val="20"/>
          <w:lang w:val="en-AU"/>
        </w:rPr>
        <w:t>for</w:t>
      </w:r>
      <w:r w:rsidR="00710548" w:rsidRPr="00F656F2">
        <w:rPr>
          <w:sz w:val="20"/>
          <w:szCs w:val="20"/>
          <w:lang w:val="en-AU"/>
        </w:rPr>
        <w:t xml:space="preserve"> DFAT </w:t>
      </w:r>
      <w:r w:rsidR="00710548">
        <w:rPr>
          <w:sz w:val="20"/>
          <w:szCs w:val="20"/>
          <w:lang w:val="en-AU"/>
        </w:rPr>
        <w:t>to</w:t>
      </w:r>
      <w:r w:rsidR="00710548" w:rsidRPr="00F656F2">
        <w:rPr>
          <w:sz w:val="20"/>
          <w:szCs w:val="20"/>
          <w:lang w:val="en-AU"/>
        </w:rPr>
        <w:t xml:space="preserve"> improve its performance in nutrition </w:t>
      </w:r>
      <w:r w:rsidR="00710548">
        <w:rPr>
          <w:sz w:val="20"/>
          <w:szCs w:val="20"/>
          <w:lang w:val="en-AU"/>
        </w:rPr>
        <w:t xml:space="preserve">by bringing together representatives from </w:t>
      </w:r>
      <w:hyperlink r:id="rId45" w:history="1">
        <w:r w:rsidR="00710548" w:rsidRPr="00813F12">
          <w:rPr>
            <w:rStyle w:val="Hyperlink"/>
            <w:sz w:val="20"/>
            <w:szCs w:val="20"/>
            <w:lang w:val="en-AU"/>
          </w:rPr>
          <w:t>LAUNCH Food</w:t>
        </w:r>
      </w:hyperlink>
      <w:r w:rsidR="00710548" w:rsidRPr="00F656F2">
        <w:rPr>
          <w:sz w:val="20"/>
          <w:szCs w:val="20"/>
          <w:lang w:val="en-AU"/>
        </w:rPr>
        <w:t xml:space="preserve"> </w:t>
      </w:r>
      <w:r w:rsidR="00710548">
        <w:rPr>
          <w:sz w:val="20"/>
          <w:szCs w:val="20"/>
          <w:lang w:val="en-AU"/>
        </w:rPr>
        <w:t xml:space="preserve">and </w:t>
      </w:r>
      <w:hyperlink r:id="rId46" w:history="1">
        <w:r w:rsidRPr="00813F12">
          <w:rPr>
            <w:rStyle w:val="Hyperlink"/>
            <w:sz w:val="20"/>
            <w:szCs w:val="20"/>
            <w:lang w:val="en-AU"/>
          </w:rPr>
          <w:t>Hamutuk</w:t>
        </w:r>
      </w:hyperlink>
      <w:r w:rsidR="00710548">
        <w:rPr>
          <w:sz w:val="20"/>
          <w:szCs w:val="20"/>
          <w:lang w:val="en-AU"/>
        </w:rPr>
        <w:t>, a program aiming to reduce stunting in children under two years of age</w:t>
      </w:r>
      <w:r>
        <w:rPr>
          <w:sz w:val="20"/>
          <w:szCs w:val="20"/>
          <w:lang w:val="en-AU"/>
        </w:rPr>
        <w:t>;</w:t>
      </w:r>
    </w:p>
    <w:p w14:paraId="0120D7FF" w14:textId="318C52EA" w:rsidR="00673767" w:rsidRDefault="00EC3793" w:rsidP="009349B6">
      <w:pPr>
        <w:pStyle w:val="Default"/>
        <w:numPr>
          <w:ilvl w:val="0"/>
          <w:numId w:val="5"/>
        </w:numPr>
        <w:spacing w:after="80"/>
        <w:jc w:val="both"/>
        <w:rPr>
          <w:sz w:val="20"/>
          <w:szCs w:val="20"/>
          <w:lang w:val="en-AU"/>
        </w:rPr>
      </w:pPr>
      <w:r>
        <w:rPr>
          <w:sz w:val="20"/>
          <w:szCs w:val="20"/>
          <w:lang w:val="en-GB"/>
        </w:rPr>
        <w:t>Acting</w:t>
      </w:r>
      <w:r w:rsidRPr="00EC3793">
        <w:rPr>
          <w:sz w:val="20"/>
          <w:szCs w:val="20"/>
          <w:lang w:val="en-GB"/>
        </w:rPr>
        <w:t xml:space="preserve"> as a convener across</w:t>
      </w:r>
      <w:r>
        <w:rPr>
          <w:sz w:val="20"/>
          <w:szCs w:val="20"/>
          <w:lang w:val="en-GB"/>
        </w:rPr>
        <w:t xml:space="preserve"> </w:t>
      </w:r>
      <w:r w:rsidRPr="00EC3793">
        <w:rPr>
          <w:sz w:val="20"/>
          <w:szCs w:val="20"/>
          <w:lang w:val="en-GB"/>
        </w:rPr>
        <w:t xml:space="preserve">internal </w:t>
      </w:r>
      <w:r w:rsidR="00386A45">
        <w:rPr>
          <w:sz w:val="20"/>
          <w:szCs w:val="20"/>
          <w:lang w:val="en-GB"/>
        </w:rPr>
        <w:t>divisions, such as</w:t>
      </w:r>
      <w:r w:rsidRPr="00EC3793">
        <w:rPr>
          <w:sz w:val="20"/>
          <w:szCs w:val="20"/>
          <w:lang w:val="en-GB"/>
        </w:rPr>
        <w:t xml:space="preserve"> working with DFAT’s </w:t>
      </w:r>
      <w:r w:rsidR="009E46D6">
        <w:rPr>
          <w:sz w:val="20"/>
          <w:szCs w:val="20"/>
          <w:lang w:val="en-GB"/>
        </w:rPr>
        <w:t>Development Policy Division and In</w:t>
      </w:r>
      <w:r w:rsidRPr="00EC3793">
        <w:rPr>
          <w:sz w:val="20"/>
          <w:szCs w:val="20"/>
          <w:lang w:val="en-GB"/>
        </w:rPr>
        <w:t xml:space="preserve">vestment and Economic Division on the </w:t>
      </w:r>
      <w:hyperlink r:id="rId47" w:history="1">
        <w:r w:rsidRPr="00AD45F9">
          <w:rPr>
            <w:rStyle w:val="Hyperlink"/>
            <w:sz w:val="20"/>
            <w:szCs w:val="20"/>
            <w:lang w:val="en-GB"/>
          </w:rPr>
          <w:t xml:space="preserve">MIKTA </w:t>
        </w:r>
        <w:r w:rsidR="00A03B46">
          <w:rPr>
            <w:rStyle w:val="Hyperlink"/>
            <w:sz w:val="20"/>
            <w:szCs w:val="20"/>
            <w:lang w:val="en-GB"/>
          </w:rPr>
          <w:t>C</w:t>
        </w:r>
        <w:r w:rsidRPr="00AD45F9">
          <w:rPr>
            <w:rStyle w:val="Hyperlink"/>
            <w:sz w:val="20"/>
            <w:szCs w:val="20"/>
            <w:lang w:val="en-GB"/>
          </w:rPr>
          <w:t>hallenge</w:t>
        </w:r>
      </w:hyperlink>
      <w:r w:rsidR="00386A45">
        <w:rPr>
          <w:sz w:val="20"/>
          <w:szCs w:val="20"/>
          <w:lang w:val="en-AU"/>
        </w:rPr>
        <w:t xml:space="preserve">; </w:t>
      </w:r>
    </w:p>
    <w:p w14:paraId="5B6C1C08" w14:textId="41494DB8" w:rsidR="00FC314B" w:rsidRDefault="00FC314B" w:rsidP="009349B6">
      <w:pPr>
        <w:pStyle w:val="Default"/>
        <w:numPr>
          <w:ilvl w:val="0"/>
          <w:numId w:val="5"/>
        </w:numPr>
        <w:spacing w:after="80"/>
        <w:jc w:val="both"/>
        <w:rPr>
          <w:sz w:val="20"/>
          <w:szCs w:val="20"/>
          <w:lang w:val="en-AU"/>
        </w:rPr>
      </w:pPr>
      <w:r>
        <w:rPr>
          <w:sz w:val="20"/>
          <w:szCs w:val="20"/>
          <w:lang w:val="en-AU"/>
        </w:rPr>
        <w:t xml:space="preserve">Seeking feedback from posts across the Indo-Pacific on potential finalists for the </w:t>
      </w:r>
      <w:hyperlink r:id="rId48" w:history="1">
        <w:r w:rsidRPr="003643DC">
          <w:rPr>
            <w:rStyle w:val="Hyperlink"/>
            <w:sz w:val="20"/>
            <w:szCs w:val="20"/>
            <w:lang w:val="en-AU"/>
          </w:rPr>
          <w:t>Frontier Innovators</w:t>
        </w:r>
      </w:hyperlink>
      <w:r>
        <w:rPr>
          <w:sz w:val="20"/>
          <w:szCs w:val="20"/>
          <w:lang w:val="en-AU"/>
        </w:rPr>
        <w:t xml:space="preserve"> challenge</w:t>
      </w:r>
      <w:r w:rsidR="00E46183">
        <w:rPr>
          <w:sz w:val="20"/>
          <w:szCs w:val="20"/>
          <w:lang w:val="en-AU"/>
        </w:rPr>
        <w:t>; and</w:t>
      </w:r>
    </w:p>
    <w:p w14:paraId="145866FF" w14:textId="26867874" w:rsidR="00E854C7" w:rsidRDefault="0009067C" w:rsidP="009349B6">
      <w:pPr>
        <w:pStyle w:val="Default"/>
        <w:numPr>
          <w:ilvl w:val="0"/>
          <w:numId w:val="5"/>
        </w:numPr>
        <w:spacing w:after="80"/>
        <w:jc w:val="both"/>
        <w:rPr>
          <w:sz w:val="20"/>
          <w:szCs w:val="20"/>
          <w:lang w:val="en-AU"/>
        </w:rPr>
      </w:pPr>
      <w:r>
        <w:rPr>
          <w:sz w:val="20"/>
          <w:szCs w:val="20"/>
          <w:lang w:val="en-AU"/>
        </w:rPr>
        <w:t>E</w:t>
      </w:r>
      <w:r w:rsidRPr="0009067C">
        <w:rPr>
          <w:sz w:val="20"/>
          <w:szCs w:val="20"/>
          <w:lang w:val="en-AU"/>
        </w:rPr>
        <w:t>ncouraging posts to engage in implementation during in-country innovation trials</w:t>
      </w:r>
      <w:r w:rsidR="00E854C7">
        <w:rPr>
          <w:sz w:val="20"/>
          <w:szCs w:val="20"/>
          <w:lang w:val="en-AU"/>
        </w:rPr>
        <w:t>. For example, the Philippines program has elected to evaluate OXFAM’s IAFFORD program, sourced via</w:t>
      </w:r>
      <w:r w:rsidR="00E854C7" w:rsidRPr="00E46183">
        <w:rPr>
          <w:sz w:val="20"/>
          <w:szCs w:val="20"/>
          <w:lang w:val="en-AU"/>
        </w:rPr>
        <w:t xml:space="preserve"> the </w:t>
      </w:r>
      <w:hyperlink r:id="rId49" w:history="1">
        <w:r w:rsidR="00E854C7" w:rsidRPr="00E46183">
          <w:rPr>
            <w:rStyle w:val="Hyperlink"/>
            <w:sz w:val="20"/>
            <w:szCs w:val="20"/>
            <w:lang w:val="en-AU"/>
          </w:rPr>
          <w:t>Google Impact Challenge</w:t>
        </w:r>
      </w:hyperlink>
      <w:r w:rsidR="00E46183" w:rsidRPr="00E46183">
        <w:rPr>
          <w:sz w:val="20"/>
          <w:szCs w:val="20"/>
          <w:lang w:val="en-AU"/>
        </w:rPr>
        <w:t>.</w:t>
      </w:r>
    </w:p>
    <w:p w14:paraId="3E4DF773" w14:textId="00DC0DF5" w:rsidR="005F38C8" w:rsidRPr="009F17A5" w:rsidRDefault="007643B9" w:rsidP="009F17A5">
      <w:pPr>
        <w:pStyle w:val="Default"/>
        <w:spacing w:after="80"/>
        <w:jc w:val="both"/>
        <w:rPr>
          <w:sz w:val="20"/>
          <w:szCs w:val="20"/>
          <w:lang w:val="en-AU"/>
        </w:rPr>
        <w:sectPr w:rsidR="005F38C8" w:rsidRPr="009F17A5" w:rsidSect="00BD6967">
          <w:headerReference w:type="even" r:id="rId50"/>
          <w:headerReference w:type="default" r:id="rId51"/>
          <w:footerReference w:type="even" r:id="rId52"/>
          <w:footerReference w:type="default" r:id="rId53"/>
          <w:headerReference w:type="first" r:id="rId54"/>
          <w:footerReference w:type="first" r:id="rId55"/>
          <w:pgSz w:w="12240" w:h="15840"/>
          <w:pgMar w:top="1179" w:right="1440" w:bottom="1440" w:left="1440" w:header="720" w:footer="720" w:gutter="0"/>
          <w:cols w:space="720"/>
          <w:docGrid w:linePitch="360"/>
        </w:sectPr>
      </w:pPr>
      <w:r w:rsidRPr="00F656F2">
        <w:rPr>
          <w:sz w:val="20"/>
          <w:szCs w:val="20"/>
          <w:lang w:val="en-AU"/>
        </w:rPr>
        <w:t xml:space="preserve">In addition to </w:t>
      </w:r>
      <w:r w:rsidRPr="0009067C">
        <w:rPr>
          <w:sz w:val="20"/>
          <w:szCs w:val="20"/>
          <w:lang w:val="en-AU"/>
        </w:rPr>
        <w:t xml:space="preserve">collaboration </w:t>
      </w:r>
      <w:r w:rsidR="0084690D" w:rsidRPr="0009067C">
        <w:rPr>
          <w:sz w:val="20"/>
          <w:szCs w:val="20"/>
          <w:lang w:val="en-AU"/>
        </w:rPr>
        <w:t>through</w:t>
      </w:r>
      <w:r w:rsidRPr="0009067C">
        <w:rPr>
          <w:sz w:val="20"/>
          <w:szCs w:val="20"/>
          <w:lang w:val="en-AU"/>
        </w:rPr>
        <w:t xml:space="preserve"> programming, the iXc used various other mechanisms to generate and share learning</w:t>
      </w:r>
      <w:r w:rsidR="000D633C" w:rsidRPr="0009067C">
        <w:rPr>
          <w:sz w:val="20"/>
          <w:szCs w:val="20"/>
          <w:lang w:val="en-AU"/>
        </w:rPr>
        <w:t>,</w:t>
      </w:r>
      <w:r w:rsidRPr="0009067C">
        <w:rPr>
          <w:sz w:val="20"/>
          <w:szCs w:val="20"/>
          <w:lang w:val="en-AU"/>
        </w:rPr>
        <w:t xml:space="preserve"> encourag</w:t>
      </w:r>
      <w:r w:rsidR="004A3665" w:rsidRPr="0009067C">
        <w:rPr>
          <w:sz w:val="20"/>
          <w:szCs w:val="20"/>
          <w:lang w:val="en-AU"/>
        </w:rPr>
        <w:t>ing</w:t>
      </w:r>
      <w:r w:rsidRPr="0009067C">
        <w:rPr>
          <w:sz w:val="20"/>
          <w:szCs w:val="20"/>
          <w:lang w:val="en-AU"/>
        </w:rPr>
        <w:t xml:space="preserve"> innovation within DFAT</w:t>
      </w:r>
      <w:r w:rsidR="00476FEC" w:rsidRPr="0009067C">
        <w:rPr>
          <w:sz w:val="20"/>
          <w:szCs w:val="20"/>
          <w:lang w:val="en-AU"/>
        </w:rPr>
        <w:t xml:space="preserve"> and the broader A</w:t>
      </w:r>
      <w:r w:rsidR="00D823D5" w:rsidRPr="0009067C">
        <w:rPr>
          <w:sz w:val="20"/>
          <w:szCs w:val="20"/>
          <w:lang w:val="en-AU"/>
        </w:rPr>
        <w:t>ustralian Public Service (A</w:t>
      </w:r>
      <w:r w:rsidR="00476FEC" w:rsidRPr="0009067C">
        <w:rPr>
          <w:sz w:val="20"/>
          <w:szCs w:val="20"/>
          <w:lang w:val="en-AU"/>
        </w:rPr>
        <w:t>PS</w:t>
      </w:r>
      <w:r w:rsidR="00D823D5" w:rsidRPr="0009067C">
        <w:rPr>
          <w:sz w:val="20"/>
          <w:szCs w:val="20"/>
          <w:lang w:val="en-AU"/>
        </w:rPr>
        <w:t>)</w:t>
      </w:r>
      <w:r w:rsidR="004A3665" w:rsidRPr="0009067C">
        <w:rPr>
          <w:sz w:val="20"/>
          <w:szCs w:val="20"/>
          <w:lang w:val="en-AU"/>
        </w:rPr>
        <w:t>.</w:t>
      </w:r>
      <w:r w:rsidRPr="0009067C">
        <w:rPr>
          <w:sz w:val="20"/>
          <w:szCs w:val="20"/>
          <w:lang w:val="en-AU"/>
        </w:rPr>
        <w:t xml:space="preserve"> </w:t>
      </w:r>
      <w:r w:rsidR="004A3665" w:rsidRPr="0009067C">
        <w:rPr>
          <w:sz w:val="20"/>
          <w:szCs w:val="20"/>
          <w:lang w:val="en-AU"/>
        </w:rPr>
        <w:t>F</w:t>
      </w:r>
      <w:r w:rsidRPr="0009067C">
        <w:rPr>
          <w:sz w:val="20"/>
          <w:szCs w:val="20"/>
          <w:lang w:val="en-AU"/>
        </w:rPr>
        <w:t>or example</w:t>
      </w:r>
      <w:r w:rsidR="00B75E40" w:rsidRPr="0009067C">
        <w:rPr>
          <w:sz w:val="20"/>
          <w:szCs w:val="20"/>
          <w:lang w:val="en-AU"/>
        </w:rPr>
        <w:t>,</w:t>
      </w:r>
      <w:r w:rsidRPr="0009067C">
        <w:rPr>
          <w:sz w:val="20"/>
          <w:szCs w:val="20"/>
          <w:lang w:val="en-AU"/>
        </w:rPr>
        <w:t xml:space="preserve"> </w:t>
      </w:r>
      <w:r w:rsidR="00D0049B" w:rsidRPr="0009067C">
        <w:rPr>
          <w:sz w:val="20"/>
          <w:szCs w:val="20"/>
          <w:lang w:val="en-AU"/>
        </w:rPr>
        <w:t>arranging second</w:t>
      </w:r>
      <w:r w:rsidR="00D0049B">
        <w:rPr>
          <w:sz w:val="20"/>
          <w:szCs w:val="20"/>
          <w:lang w:val="en-AU"/>
        </w:rPr>
        <w:t xml:space="preserve">ments from other divisions, </w:t>
      </w:r>
      <w:r w:rsidR="00FC314B">
        <w:rPr>
          <w:sz w:val="20"/>
          <w:szCs w:val="20"/>
          <w:lang w:val="en-AU"/>
        </w:rPr>
        <w:t>developing and maintaining a website</w:t>
      </w:r>
      <w:r w:rsidR="00F34196">
        <w:rPr>
          <w:sz w:val="20"/>
          <w:szCs w:val="20"/>
          <w:lang w:val="en-AU"/>
        </w:rPr>
        <w:t xml:space="preserve"> including an interactive map to </w:t>
      </w:r>
      <w:r w:rsidR="00F34196">
        <w:rPr>
          <w:sz w:val="20"/>
          <w:szCs w:val="20"/>
          <w:lang w:val="en-AU"/>
        </w:rPr>
        <w:lastRenderedPageBreak/>
        <w:t>showcase programs and key lessons</w:t>
      </w:r>
      <w:r w:rsidR="00FC314B">
        <w:rPr>
          <w:sz w:val="20"/>
          <w:szCs w:val="20"/>
          <w:lang w:val="en-AU"/>
        </w:rPr>
        <w:t xml:space="preserve">, </w:t>
      </w:r>
      <w:r w:rsidRPr="00673767">
        <w:rPr>
          <w:sz w:val="20"/>
          <w:szCs w:val="20"/>
          <w:lang w:val="en-AU"/>
        </w:rPr>
        <w:t xml:space="preserve">holding staff briefings and presentations, participating in core DFAT committees, and </w:t>
      </w:r>
      <w:r w:rsidR="0084690D" w:rsidRPr="00673767">
        <w:rPr>
          <w:sz w:val="20"/>
          <w:szCs w:val="20"/>
          <w:lang w:val="en-AU"/>
        </w:rPr>
        <w:t>engaging with the department using</w:t>
      </w:r>
      <w:r w:rsidRPr="00673767">
        <w:rPr>
          <w:sz w:val="20"/>
          <w:szCs w:val="20"/>
          <w:lang w:val="en-AU"/>
        </w:rPr>
        <w:t xml:space="preserve"> social media. </w:t>
      </w:r>
      <w:r w:rsidR="00236A3B" w:rsidRPr="00673767">
        <w:rPr>
          <w:sz w:val="20"/>
          <w:szCs w:val="20"/>
          <w:lang w:val="en-AU"/>
        </w:rPr>
        <w:t>Some examples of these activities are:</w:t>
      </w:r>
    </w:p>
    <w:p w14:paraId="1670FE7E" w14:textId="0313CD51" w:rsidR="009E46D6" w:rsidRDefault="009E46D6" w:rsidP="009349B6">
      <w:pPr>
        <w:pStyle w:val="ListParagraph"/>
        <w:numPr>
          <w:ilvl w:val="0"/>
          <w:numId w:val="3"/>
        </w:numPr>
        <w:spacing w:before="0" w:beforeAutospacing="0" w:after="80" w:afterAutospacing="0" w:line="259" w:lineRule="auto"/>
        <w:ind w:left="714" w:hanging="357"/>
        <w:jc w:val="both"/>
        <w:rPr>
          <w:rFonts w:ascii="Calibri" w:hAnsi="Calibri"/>
          <w:color w:val="000000"/>
          <w:sz w:val="20"/>
          <w:szCs w:val="20"/>
        </w:rPr>
      </w:pPr>
      <w:r>
        <w:rPr>
          <w:rFonts w:ascii="Calibri" w:hAnsi="Calibri"/>
          <w:color w:val="000000"/>
          <w:sz w:val="20"/>
          <w:szCs w:val="20"/>
        </w:rPr>
        <w:t xml:space="preserve">Running three internal </w:t>
      </w:r>
      <w:r w:rsidRPr="00AD4777">
        <w:rPr>
          <w:rFonts w:ascii="Calibri" w:hAnsi="Calibri"/>
          <w:color w:val="000000"/>
          <w:sz w:val="20"/>
          <w:szCs w:val="20"/>
        </w:rPr>
        <w:t>ideas challenges</w:t>
      </w:r>
      <w:r>
        <w:rPr>
          <w:rFonts w:ascii="Calibri" w:hAnsi="Calibri"/>
          <w:color w:val="000000"/>
          <w:sz w:val="20"/>
          <w:szCs w:val="20"/>
        </w:rPr>
        <w:t xml:space="preserve"> in </w:t>
      </w:r>
      <w:hyperlink r:id="rId56" w:history="1">
        <w:r w:rsidRPr="00AD4777">
          <w:rPr>
            <w:rStyle w:val="Hyperlink"/>
            <w:rFonts w:ascii="Calibri" w:hAnsi="Calibri"/>
            <w:sz w:val="20"/>
            <w:szCs w:val="20"/>
          </w:rPr>
          <w:t>2015</w:t>
        </w:r>
      </w:hyperlink>
      <w:r>
        <w:rPr>
          <w:rFonts w:ascii="Calibri" w:hAnsi="Calibri"/>
          <w:color w:val="000000"/>
          <w:sz w:val="20"/>
          <w:szCs w:val="20"/>
        </w:rPr>
        <w:t xml:space="preserve">, </w:t>
      </w:r>
      <w:hyperlink r:id="rId57" w:history="1">
        <w:r w:rsidRPr="00AD4777">
          <w:rPr>
            <w:rStyle w:val="Hyperlink"/>
            <w:rFonts w:ascii="Calibri" w:hAnsi="Calibri"/>
            <w:sz w:val="20"/>
            <w:szCs w:val="20"/>
          </w:rPr>
          <w:t>2016</w:t>
        </w:r>
      </w:hyperlink>
      <w:r>
        <w:rPr>
          <w:rFonts w:ascii="Calibri" w:hAnsi="Calibri"/>
          <w:color w:val="000000"/>
          <w:sz w:val="20"/>
          <w:szCs w:val="20"/>
        </w:rPr>
        <w:t xml:space="preserve"> and 2017 to engage staff and generate innovative ideas for the </w:t>
      </w:r>
      <w:r w:rsidR="00E67833">
        <w:rPr>
          <w:rFonts w:ascii="Calibri" w:hAnsi="Calibri"/>
          <w:color w:val="000000"/>
          <w:sz w:val="20"/>
          <w:szCs w:val="20"/>
        </w:rPr>
        <w:t>d</w:t>
      </w:r>
      <w:r>
        <w:rPr>
          <w:rFonts w:ascii="Calibri" w:hAnsi="Calibri"/>
          <w:color w:val="000000"/>
          <w:sz w:val="20"/>
          <w:szCs w:val="20"/>
        </w:rPr>
        <w:t>epartment to implement</w:t>
      </w:r>
      <w:r w:rsidR="00123EE7">
        <w:rPr>
          <w:rFonts w:ascii="Calibri" w:hAnsi="Calibri"/>
          <w:color w:val="000000"/>
          <w:sz w:val="20"/>
          <w:szCs w:val="20"/>
        </w:rPr>
        <w:t>;</w:t>
      </w:r>
    </w:p>
    <w:p w14:paraId="4626F330" w14:textId="262D6A03" w:rsidR="007643B9" w:rsidRDefault="007643B9" w:rsidP="009349B6">
      <w:pPr>
        <w:pStyle w:val="ListParagraph"/>
        <w:numPr>
          <w:ilvl w:val="0"/>
          <w:numId w:val="3"/>
        </w:numPr>
        <w:spacing w:before="0" w:beforeAutospacing="0" w:after="80" w:afterAutospacing="0" w:line="259" w:lineRule="auto"/>
        <w:ind w:left="714" w:hanging="357"/>
        <w:jc w:val="both"/>
        <w:rPr>
          <w:rFonts w:ascii="Calibri" w:hAnsi="Calibri"/>
          <w:color w:val="000000"/>
          <w:sz w:val="20"/>
          <w:szCs w:val="20"/>
        </w:rPr>
      </w:pPr>
      <w:r w:rsidRPr="00673767">
        <w:rPr>
          <w:rFonts w:ascii="Calibri" w:hAnsi="Calibri"/>
          <w:color w:val="000000"/>
          <w:sz w:val="20"/>
          <w:szCs w:val="20"/>
        </w:rPr>
        <w:t>Development of a</w:t>
      </w:r>
      <w:r w:rsidR="002236E3">
        <w:rPr>
          <w:rFonts w:ascii="Calibri" w:hAnsi="Calibri"/>
          <w:color w:val="000000"/>
          <w:sz w:val="20"/>
          <w:szCs w:val="20"/>
        </w:rPr>
        <w:t xml:space="preserve"> video</w:t>
      </w:r>
      <w:r w:rsidR="00D823D5">
        <w:rPr>
          <w:rFonts w:ascii="Calibri" w:hAnsi="Calibri"/>
          <w:color w:val="000000"/>
          <w:sz w:val="20"/>
          <w:szCs w:val="20"/>
        </w:rPr>
        <w:t>, shared internally,</w:t>
      </w:r>
      <w:r w:rsidR="002236E3">
        <w:rPr>
          <w:rFonts w:ascii="Calibri" w:hAnsi="Calibri"/>
          <w:color w:val="000000"/>
          <w:sz w:val="20"/>
          <w:szCs w:val="20"/>
        </w:rPr>
        <w:t xml:space="preserve"> </w:t>
      </w:r>
      <w:r w:rsidRPr="00673767">
        <w:rPr>
          <w:rFonts w:ascii="Calibri" w:hAnsi="Calibri"/>
          <w:color w:val="000000"/>
          <w:sz w:val="20"/>
          <w:szCs w:val="20"/>
        </w:rPr>
        <w:t xml:space="preserve">to inform and encourage innovation across the </w:t>
      </w:r>
      <w:r w:rsidR="00D823D5">
        <w:rPr>
          <w:rFonts w:ascii="Calibri" w:hAnsi="Calibri"/>
          <w:color w:val="000000"/>
          <w:sz w:val="20"/>
          <w:szCs w:val="20"/>
        </w:rPr>
        <w:t>APS</w:t>
      </w:r>
      <w:r w:rsidRPr="00673767">
        <w:rPr>
          <w:rFonts w:ascii="Calibri" w:hAnsi="Calibri"/>
          <w:color w:val="000000"/>
          <w:sz w:val="20"/>
          <w:szCs w:val="20"/>
        </w:rPr>
        <w:t xml:space="preserve"> and </w:t>
      </w:r>
      <w:r w:rsidR="00123EE7">
        <w:rPr>
          <w:rFonts w:ascii="Calibri" w:hAnsi="Calibri"/>
          <w:color w:val="000000"/>
          <w:sz w:val="20"/>
          <w:szCs w:val="20"/>
        </w:rPr>
        <w:t>featuring</w:t>
      </w:r>
      <w:r w:rsidRPr="00673767">
        <w:rPr>
          <w:rFonts w:ascii="Calibri" w:hAnsi="Calibri"/>
          <w:color w:val="000000"/>
          <w:sz w:val="20"/>
          <w:szCs w:val="20"/>
        </w:rPr>
        <w:t xml:space="preserve"> outcomes from the first two DFAT Ideas challenges; </w:t>
      </w:r>
    </w:p>
    <w:p w14:paraId="178AF0F0" w14:textId="5BD5BB82" w:rsidR="009E46D6" w:rsidRPr="008F3DB5" w:rsidRDefault="009E46D6" w:rsidP="009349B6">
      <w:pPr>
        <w:pStyle w:val="ListParagraph"/>
        <w:numPr>
          <w:ilvl w:val="0"/>
          <w:numId w:val="3"/>
        </w:numPr>
        <w:spacing w:before="0" w:beforeAutospacing="0" w:after="80" w:afterAutospacing="0" w:line="259" w:lineRule="auto"/>
        <w:ind w:left="714" w:hanging="357"/>
        <w:jc w:val="both"/>
        <w:rPr>
          <w:rFonts w:ascii="Calibri" w:hAnsi="Calibri"/>
          <w:color w:val="000000"/>
          <w:sz w:val="20"/>
          <w:szCs w:val="20"/>
        </w:rPr>
      </w:pPr>
      <w:r>
        <w:rPr>
          <w:rFonts w:ascii="Calibri" w:hAnsi="Calibri"/>
          <w:color w:val="000000"/>
          <w:sz w:val="20"/>
          <w:szCs w:val="20"/>
        </w:rPr>
        <w:t xml:space="preserve">Partnership with other </w:t>
      </w:r>
      <w:r w:rsidR="00123EE7">
        <w:rPr>
          <w:rFonts w:ascii="Calibri" w:hAnsi="Calibri"/>
          <w:color w:val="000000"/>
          <w:sz w:val="20"/>
          <w:szCs w:val="20"/>
        </w:rPr>
        <w:t>d</w:t>
      </w:r>
      <w:r>
        <w:rPr>
          <w:rFonts w:ascii="Calibri" w:hAnsi="Calibri"/>
          <w:color w:val="000000"/>
          <w:sz w:val="20"/>
          <w:szCs w:val="20"/>
        </w:rPr>
        <w:t xml:space="preserve">ivisions on DFAT strategies, for example </w:t>
      </w:r>
      <w:r w:rsidR="008E6027" w:rsidRPr="008E6027">
        <w:rPr>
          <w:rFonts w:ascii="Calibri" w:hAnsi="Calibri"/>
          <w:color w:val="000000"/>
          <w:sz w:val="20"/>
          <w:szCs w:val="20"/>
        </w:rPr>
        <w:t xml:space="preserve">for example, the iXc contributed to the development of Australia's first </w:t>
      </w:r>
      <w:hyperlink r:id="rId58" w:history="1">
        <w:r w:rsidR="008E6027" w:rsidRPr="008E6027">
          <w:rPr>
            <w:rStyle w:val="Hyperlink"/>
            <w:rFonts w:ascii="Calibri" w:hAnsi="Calibri"/>
            <w:sz w:val="20"/>
            <w:szCs w:val="20"/>
          </w:rPr>
          <w:t>International Cyber Engagement Strategy</w:t>
        </w:r>
      </w:hyperlink>
      <w:r w:rsidR="008E6027" w:rsidRPr="008E6027">
        <w:rPr>
          <w:rFonts w:ascii="Calibri" w:hAnsi="Calibri"/>
          <w:color w:val="000000"/>
          <w:sz w:val="20"/>
          <w:szCs w:val="20"/>
        </w:rPr>
        <w:t xml:space="preserve"> with the Ambassador for Cyber Security</w:t>
      </w:r>
      <w:r w:rsidR="008E6027">
        <w:rPr>
          <w:rFonts w:ascii="Calibri" w:hAnsi="Calibri"/>
          <w:color w:val="000000"/>
          <w:sz w:val="20"/>
          <w:szCs w:val="20"/>
        </w:rPr>
        <w:t>;</w:t>
      </w:r>
    </w:p>
    <w:p w14:paraId="3F1CC351" w14:textId="36D26B8C" w:rsidR="00FC314B" w:rsidRPr="009C4CA4" w:rsidRDefault="00FC314B" w:rsidP="009349B6">
      <w:pPr>
        <w:pStyle w:val="ListParagraph"/>
        <w:numPr>
          <w:ilvl w:val="0"/>
          <w:numId w:val="3"/>
        </w:numPr>
        <w:spacing w:before="0" w:beforeAutospacing="0" w:after="80" w:afterAutospacing="0" w:line="259" w:lineRule="auto"/>
        <w:ind w:left="714" w:hanging="357"/>
        <w:jc w:val="both"/>
        <w:rPr>
          <w:rFonts w:ascii="Calibri" w:hAnsi="Calibri"/>
          <w:color w:val="000000"/>
          <w:sz w:val="20"/>
          <w:szCs w:val="20"/>
        </w:rPr>
      </w:pPr>
      <w:r w:rsidRPr="009C4CA4">
        <w:rPr>
          <w:rFonts w:ascii="Calibri" w:hAnsi="Calibri"/>
          <w:sz w:val="20"/>
          <w:szCs w:val="20"/>
          <w:lang w:val="en-AU"/>
        </w:rPr>
        <w:t>Leading policy coordination and debate around topics such as ICT collaboration tools, blockchain, and big data</w:t>
      </w:r>
      <w:r w:rsidR="00534C74">
        <w:rPr>
          <w:rFonts w:ascii="Calibri" w:hAnsi="Calibri"/>
          <w:sz w:val="20"/>
          <w:szCs w:val="20"/>
          <w:lang w:val="en-AU"/>
        </w:rPr>
        <w:t>;</w:t>
      </w:r>
    </w:p>
    <w:p w14:paraId="2FF7C13C" w14:textId="4D7DC641" w:rsidR="007643B9" w:rsidRPr="00673767" w:rsidRDefault="007643B9" w:rsidP="009349B6">
      <w:pPr>
        <w:pStyle w:val="ListParagraph"/>
        <w:numPr>
          <w:ilvl w:val="0"/>
          <w:numId w:val="3"/>
        </w:numPr>
        <w:spacing w:before="0" w:beforeAutospacing="0" w:after="80" w:afterAutospacing="0" w:line="259" w:lineRule="auto"/>
        <w:ind w:left="714" w:hanging="357"/>
        <w:jc w:val="both"/>
        <w:rPr>
          <w:rFonts w:ascii="Calibri" w:hAnsi="Calibri"/>
          <w:color w:val="000000"/>
          <w:sz w:val="20"/>
          <w:szCs w:val="20"/>
        </w:rPr>
      </w:pPr>
      <w:r w:rsidRPr="00673767">
        <w:rPr>
          <w:rFonts w:ascii="Calibri" w:hAnsi="Calibri"/>
          <w:color w:val="000000"/>
          <w:sz w:val="20"/>
          <w:szCs w:val="20"/>
        </w:rPr>
        <w:t>Use of the iXc</w:t>
      </w:r>
      <w:r w:rsidR="005F38C8" w:rsidRPr="00673767">
        <w:rPr>
          <w:rFonts w:ascii="Calibri" w:hAnsi="Calibri"/>
          <w:color w:val="000000"/>
          <w:sz w:val="20"/>
          <w:szCs w:val="20"/>
        </w:rPr>
        <w:t xml:space="preserve">’s </w:t>
      </w:r>
      <w:r w:rsidRPr="00673767">
        <w:rPr>
          <w:rFonts w:ascii="Calibri" w:hAnsi="Calibri"/>
          <w:color w:val="000000"/>
          <w:sz w:val="20"/>
          <w:szCs w:val="20"/>
        </w:rPr>
        <w:t xml:space="preserve">location for </w:t>
      </w:r>
      <w:r w:rsidR="00E62703" w:rsidRPr="00673767">
        <w:rPr>
          <w:rFonts w:ascii="Calibri" w:hAnsi="Calibri"/>
          <w:color w:val="000000"/>
          <w:sz w:val="20"/>
          <w:szCs w:val="20"/>
        </w:rPr>
        <w:t xml:space="preserve">DFAT staff and external experts </w:t>
      </w:r>
      <w:r w:rsidR="00E62703">
        <w:rPr>
          <w:rFonts w:ascii="Calibri" w:hAnsi="Calibri"/>
          <w:color w:val="000000"/>
          <w:sz w:val="20"/>
          <w:szCs w:val="20"/>
        </w:rPr>
        <w:t xml:space="preserve">to collaborate through </w:t>
      </w:r>
      <w:r w:rsidRPr="00673767">
        <w:rPr>
          <w:rFonts w:ascii="Calibri" w:hAnsi="Calibri"/>
          <w:color w:val="000000"/>
          <w:sz w:val="20"/>
          <w:szCs w:val="20"/>
        </w:rPr>
        <w:t xml:space="preserve">workshops, design thinking, hackathons, videoconferencing and seminars; </w:t>
      </w:r>
      <w:r w:rsidR="00CF56F7" w:rsidRPr="00673767">
        <w:rPr>
          <w:rFonts w:ascii="Calibri" w:hAnsi="Calibri"/>
          <w:color w:val="000000"/>
          <w:sz w:val="20"/>
          <w:szCs w:val="20"/>
        </w:rPr>
        <w:t>and</w:t>
      </w:r>
    </w:p>
    <w:p w14:paraId="3DDA52BD" w14:textId="1B25CDC0" w:rsidR="007643B9" w:rsidRPr="00673767" w:rsidRDefault="00CF56F7" w:rsidP="009349B6">
      <w:pPr>
        <w:pStyle w:val="ListParagraph"/>
        <w:numPr>
          <w:ilvl w:val="0"/>
          <w:numId w:val="3"/>
        </w:numPr>
        <w:spacing w:before="0" w:beforeAutospacing="0" w:after="80" w:afterAutospacing="0" w:line="259" w:lineRule="auto"/>
        <w:ind w:left="714" w:hanging="357"/>
        <w:jc w:val="both"/>
        <w:rPr>
          <w:rFonts w:ascii="Calibri" w:hAnsi="Calibri"/>
          <w:color w:val="000000"/>
          <w:sz w:val="20"/>
          <w:szCs w:val="20"/>
        </w:rPr>
      </w:pPr>
      <w:r w:rsidRPr="00673767">
        <w:rPr>
          <w:rFonts w:ascii="Calibri" w:hAnsi="Calibri"/>
          <w:color w:val="000000"/>
          <w:sz w:val="20"/>
          <w:szCs w:val="20"/>
        </w:rPr>
        <w:t>Conducting consultations with staff to feed into the development of the</w:t>
      </w:r>
      <w:r w:rsidR="007643B9" w:rsidRPr="00673767">
        <w:rPr>
          <w:rFonts w:ascii="Calibri" w:hAnsi="Calibri"/>
          <w:color w:val="000000"/>
          <w:sz w:val="20"/>
          <w:szCs w:val="20"/>
        </w:rPr>
        <w:t xml:space="preserve"> </w:t>
      </w:r>
      <w:r w:rsidR="007C3E73">
        <w:rPr>
          <w:rFonts w:ascii="Calibri" w:hAnsi="Calibri"/>
          <w:color w:val="000000"/>
          <w:sz w:val="20"/>
          <w:szCs w:val="20"/>
        </w:rPr>
        <w:t xml:space="preserve">2018 </w:t>
      </w:r>
      <w:r w:rsidR="00F36214">
        <w:rPr>
          <w:rFonts w:ascii="Calibri" w:hAnsi="Calibri"/>
          <w:color w:val="000000"/>
          <w:sz w:val="20"/>
          <w:szCs w:val="20"/>
        </w:rPr>
        <w:t>Innovation</w:t>
      </w:r>
      <w:r w:rsidR="007643B9" w:rsidRPr="00673767">
        <w:rPr>
          <w:rFonts w:ascii="Calibri" w:hAnsi="Calibri"/>
          <w:color w:val="000000"/>
          <w:sz w:val="20"/>
          <w:szCs w:val="20"/>
        </w:rPr>
        <w:t xml:space="preserve"> </w:t>
      </w:r>
      <w:r w:rsidR="00F36214">
        <w:rPr>
          <w:rFonts w:ascii="Calibri" w:hAnsi="Calibri"/>
          <w:color w:val="000000"/>
          <w:sz w:val="20"/>
          <w:szCs w:val="20"/>
        </w:rPr>
        <w:t>S</w:t>
      </w:r>
      <w:r w:rsidR="007643B9" w:rsidRPr="00673767">
        <w:rPr>
          <w:rFonts w:ascii="Calibri" w:hAnsi="Calibri"/>
          <w:color w:val="000000"/>
          <w:sz w:val="20"/>
          <w:szCs w:val="20"/>
        </w:rPr>
        <w:t>trategy.</w:t>
      </w:r>
    </w:p>
    <w:p w14:paraId="30D322C9" w14:textId="77777777" w:rsidR="005F38C8" w:rsidRPr="00673767" w:rsidRDefault="005F38C8" w:rsidP="001F2786">
      <w:pPr>
        <w:pStyle w:val="Default"/>
        <w:spacing w:after="80"/>
        <w:jc w:val="both"/>
        <w:rPr>
          <w:sz w:val="20"/>
          <w:szCs w:val="20"/>
          <w:lang w:val="en-AU"/>
        </w:rPr>
        <w:sectPr w:rsidR="005F38C8" w:rsidRPr="00673767" w:rsidSect="00A14BEC">
          <w:type w:val="continuous"/>
          <w:pgSz w:w="12240" w:h="15840"/>
          <w:pgMar w:top="1440" w:right="1440" w:bottom="1440" w:left="1440" w:header="720" w:footer="720" w:gutter="0"/>
          <w:cols w:space="180"/>
          <w:docGrid w:linePitch="360"/>
        </w:sectPr>
      </w:pPr>
    </w:p>
    <w:p w14:paraId="03E08A99" w14:textId="3346758F" w:rsidR="00067171" w:rsidRPr="00F7211F" w:rsidRDefault="009E46D6" w:rsidP="00F7211F">
      <w:pPr>
        <w:spacing w:after="160"/>
        <w:jc w:val="both"/>
        <w:rPr>
          <w:rFonts w:ascii="Calibri" w:hAnsi="Calibri" w:cs="Calibri"/>
        </w:rPr>
      </w:pPr>
      <w:r w:rsidRPr="0091705D">
        <w:rPr>
          <w:rFonts w:ascii="Calibri" w:hAnsi="Calibri" w:cs="Calibri"/>
          <w:sz w:val="20"/>
          <w:szCs w:val="20"/>
          <w:lang w:val="en-AU"/>
        </w:rPr>
        <w:t>This engagement led to</w:t>
      </w:r>
      <w:r w:rsidR="00153A5F" w:rsidRPr="0091705D">
        <w:rPr>
          <w:rFonts w:ascii="Calibri" w:hAnsi="Calibri" w:cs="Calibri"/>
          <w:sz w:val="20"/>
          <w:szCs w:val="20"/>
          <w:lang w:val="en-AU"/>
        </w:rPr>
        <w:t xml:space="preserve"> o</w:t>
      </w:r>
      <w:r w:rsidR="00C97717" w:rsidRPr="0091705D">
        <w:rPr>
          <w:rFonts w:ascii="Calibri" w:hAnsi="Calibri" w:cs="Calibri"/>
          <w:sz w:val="20"/>
          <w:szCs w:val="20"/>
        </w:rPr>
        <w:t>ver</w:t>
      </w:r>
      <w:r w:rsidR="00C97717" w:rsidRPr="0091705D">
        <w:rPr>
          <w:rFonts w:ascii="Calibri" w:eastAsia="Calibri Light" w:hAnsi="Calibri" w:cs="Calibri"/>
          <w:sz w:val="20"/>
          <w:szCs w:val="20"/>
          <w:lang w:val="en-AU"/>
        </w:rPr>
        <w:t xml:space="preserve"> 80</w:t>
      </w:r>
      <w:r w:rsidR="000A4CE0" w:rsidRPr="0091705D">
        <w:rPr>
          <w:rFonts w:ascii="Calibri" w:eastAsia="Calibri Light" w:hAnsi="Calibri" w:cs="Calibri"/>
          <w:sz w:val="20"/>
          <w:szCs w:val="20"/>
          <w:lang w:val="en-AU"/>
        </w:rPr>
        <w:t xml:space="preserve">% </w:t>
      </w:r>
      <w:r w:rsidR="00C97717" w:rsidRPr="0091705D">
        <w:rPr>
          <w:rFonts w:ascii="Calibri" w:eastAsia="Calibri Light" w:hAnsi="Calibri" w:cs="Calibri"/>
          <w:sz w:val="20"/>
          <w:szCs w:val="20"/>
          <w:lang w:val="en-AU"/>
        </w:rPr>
        <w:t>of Australia’s aid programs reporting using innovation, based on an analysis of FY 2017 Aid Quality Checks</w:t>
      </w:r>
      <w:r w:rsidR="000A4CE0" w:rsidRPr="0091705D">
        <w:rPr>
          <w:rFonts w:ascii="Calibri" w:eastAsia="Calibri Light" w:hAnsi="Calibri" w:cs="Calibri"/>
          <w:sz w:val="20"/>
          <w:szCs w:val="20"/>
          <w:lang w:val="en-AU"/>
        </w:rPr>
        <w:t xml:space="preserve"> (AQC)</w:t>
      </w:r>
      <w:r w:rsidR="00C97717" w:rsidRPr="0091705D">
        <w:rPr>
          <w:rFonts w:ascii="Calibri" w:eastAsia="Calibri Light" w:hAnsi="Calibri" w:cs="Calibri"/>
          <w:sz w:val="20"/>
          <w:szCs w:val="20"/>
          <w:lang w:val="en-AU"/>
        </w:rPr>
        <w:t xml:space="preserve"> completed for DFAT’s aid investments over $</w:t>
      </w:r>
      <w:r w:rsidR="000A4CE0" w:rsidRPr="0091705D">
        <w:rPr>
          <w:rFonts w:ascii="Calibri" w:eastAsia="Calibri Light" w:hAnsi="Calibri" w:cs="Calibri"/>
          <w:sz w:val="20"/>
          <w:szCs w:val="20"/>
          <w:lang w:val="en-AU"/>
        </w:rPr>
        <w:t>3m</w:t>
      </w:r>
      <w:r w:rsidR="00C97717" w:rsidRPr="0091705D">
        <w:rPr>
          <w:rFonts w:ascii="Calibri" w:eastAsia="Calibri Light" w:hAnsi="Calibri" w:cs="Calibri"/>
          <w:sz w:val="20"/>
          <w:szCs w:val="20"/>
          <w:lang w:val="en-AU"/>
        </w:rPr>
        <w:t>.</w:t>
      </w:r>
      <w:r w:rsidR="00067171" w:rsidRPr="0091705D">
        <w:rPr>
          <w:rFonts w:ascii="Calibri" w:eastAsia="Calibri Light" w:hAnsi="Calibri" w:cs="Calibri"/>
          <w:sz w:val="20"/>
          <w:szCs w:val="20"/>
          <w:lang w:val="en-AU"/>
        </w:rPr>
        <w:t xml:space="preserve"> E</w:t>
      </w:r>
      <w:r w:rsidR="00067171" w:rsidRPr="0091705D">
        <w:rPr>
          <w:rFonts w:ascii="Calibri" w:hAnsi="Calibri" w:cs="Calibri"/>
          <w:color w:val="000000"/>
          <w:sz w:val="20"/>
          <w:szCs w:val="20"/>
        </w:rPr>
        <w:t>arlier AQC data from 2016, responding to a differently worded question, showed that 63% of aid projects reported using innovative programming</w:t>
      </w:r>
      <w:r w:rsidR="000A4CE0" w:rsidRPr="0091705D">
        <w:rPr>
          <w:rFonts w:ascii="Calibri" w:hAnsi="Calibri" w:cs="Calibri"/>
          <w:color w:val="000000"/>
          <w:sz w:val="20"/>
          <w:szCs w:val="20"/>
        </w:rPr>
        <w:t>. T</w:t>
      </w:r>
      <w:r w:rsidR="00067171" w:rsidRPr="0091705D">
        <w:rPr>
          <w:rFonts w:ascii="Calibri" w:hAnsi="Calibri" w:cs="Calibri"/>
          <w:color w:val="000000"/>
          <w:sz w:val="20"/>
          <w:szCs w:val="20"/>
        </w:rPr>
        <w:t>hese changes were positively associated with other scores for program quality including effectiveness, gender equality and relevance.</w:t>
      </w:r>
      <w:r w:rsidR="00067171" w:rsidRPr="00F7211F">
        <w:rPr>
          <w:rFonts w:ascii="Calibri" w:hAnsi="Calibri" w:cs="Calibri"/>
        </w:rPr>
        <w:t xml:space="preserve">  </w:t>
      </w:r>
    </w:p>
    <w:p w14:paraId="4F6A3108" w14:textId="15FF142E" w:rsidR="00FC314B" w:rsidRPr="00C97717" w:rsidRDefault="00DB41B2" w:rsidP="00153A5F">
      <w:pPr>
        <w:pStyle w:val="Default"/>
        <w:spacing w:after="80"/>
        <w:jc w:val="both"/>
        <w:rPr>
          <w:sz w:val="20"/>
          <w:szCs w:val="20"/>
          <w:lang w:val="en-AU"/>
        </w:rPr>
      </w:pPr>
      <w:r w:rsidRPr="00153A5F">
        <w:rPr>
          <w:rFonts w:eastAsia="Calibri Light"/>
          <w:sz w:val="20"/>
          <w:szCs w:val="20"/>
          <w:lang w:val="en-AU"/>
        </w:rPr>
        <w:t>T</w:t>
      </w:r>
      <w:r w:rsidR="00C97717" w:rsidRPr="00153A5F">
        <w:rPr>
          <w:rFonts w:eastAsia="Calibri Light"/>
          <w:sz w:val="20"/>
          <w:szCs w:val="20"/>
          <w:lang w:val="en-AU"/>
        </w:rPr>
        <w:t xml:space="preserve">his is encouraging in demonstrating broad engagement with the concept </w:t>
      </w:r>
      <w:r w:rsidR="00A9400D">
        <w:rPr>
          <w:rFonts w:eastAsia="Calibri Light"/>
          <w:sz w:val="20"/>
          <w:szCs w:val="20"/>
          <w:lang w:val="en-AU"/>
        </w:rPr>
        <w:t xml:space="preserve">of innovation </w:t>
      </w:r>
      <w:r w:rsidR="00C97717" w:rsidRPr="00153A5F">
        <w:rPr>
          <w:rFonts w:eastAsia="Calibri Light"/>
          <w:sz w:val="20"/>
          <w:szCs w:val="20"/>
          <w:lang w:val="en-AU"/>
        </w:rPr>
        <w:t xml:space="preserve">across the </w:t>
      </w:r>
      <w:r w:rsidR="00153A5F">
        <w:rPr>
          <w:rFonts w:eastAsia="Calibri Light"/>
          <w:sz w:val="20"/>
          <w:szCs w:val="20"/>
          <w:lang w:val="en-AU"/>
        </w:rPr>
        <w:t xml:space="preserve">department. </w:t>
      </w:r>
      <w:r w:rsidR="00153A5F">
        <w:rPr>
          <w:sz w:val="20"/>
          <w:szCs w:val="20"/>
          <w:lang w:val="en-AU"/>
        </w:rPr>
        <w:t>Examples also emerged of areas</w:t>
      </w:r>
      <w:r w:rsidR="003E2563" w:rsidRPr="00C97717">
        <w:rPr>
          <w:sz w:val="20"/>
          <w:szCs w:val="20"/>
          <w:lang w:val="en-AU"/>
        </w:rPr>
        <w:t xml:space="preserve"> adopting innovative methods without recourse to the iXc</w:t>
      </w:r>
      <w:r w:rsidR="00153A5F">
        <w:rPr>
          <w:sz w:val="20"/>
          <w:szCs w:val="20"/>
          <w:lang w:val="en-AU"/>
        </w:rPr>
        <w:t xml:space="preserve">, such as </w:t>
      </w:r>
      <w:r w:rsidR="00FC314B" w:rsidRPr="00B07DA6">
        <w:rPr>
          <w:sz w:val="20"/>
          <w:szCs w:val="20"/>
          <w:lang w:val="en-GB"/>
        </w:rPr>
        <w:t xml:space="preserve">DFAT’s Australian Safeguards and Nuclear Office, </w:t>
      </w:r>
      <w:r w:rsidR="00153A5F">
        <w:rPr>
          <w:sz w:val="20"/>
          <w:szCs w:val="20"/>
          <w:lang w:val="en-GB"/>
        </w:rPr>
        <w:t xml:space="preserve">which </w:t>
      </w:r>
      <w:r w:rsidR="00153A5F" w:rsidRPr="00C97717">
        <w:rPr>
          <w:sz w:val="20"/>
          <w:szCs w:val="20"/>
          <w:lang w:val="en-GB"/>
        </w:rPr>
        <w:t xml:space="preserve">conducted a </w:t>
      </w:r>
      <w:hyperlink r:id="rId59" w:history="1">
        <w:r w:rsidR="00153A5F" w:rsidRPr="0046160F">
          <w:rPr>
            <w:rStyle w:val="Hyperlink"/>
            <w:sz w:val="20"/>
            <w:szCs w:val="20"/>
            <w:lang w:val="en-GB"/>
          </w:rPr>
          <w:t>robotics challenge</w:t>
        </w:r>
      </w:hyperlink>
      <w:r w:rsidR="00153A5F" w:rsidRPr="00C97717">
        <w:rPr>
          <w:sz w:val="20"/>
          <w:szCs w:val="20"/>
          <w:lang w:val="en-GB"/>
        </w:rPr>
        <w:t xml:space="preserve"> to source new automated inspection robots for high-risk facilities</w:t>
      </w:r>
      <w:r w:rsidR="00153A5F" w:rsidRPr="00B07DA6">
        <w:rPr>
          <w:sz w:val="20"/>
          <w:szCs w:val="20"/>
          <w:lang w:val="en-GB"/>
        </w:rPr>
        <w:t xml:space="preserve"> </w:t>
      </w:r>
      <w:r w:rsidR="00FC314B" w:rsidRPr="00B07DA6">
        <w:rPr>
          <w:sz w:val="20"/>
          <w:szCs w:val="20"/>
          <w:lang w:val="en-GB"/>
        </w:rPr>
        <w:t xml:space="preserve">in partnership with CSIRO’s </w:t>
      </w:r>
      <w:r w:rsidR="00FC314B" w:rsidRPr="0046160F">
        <w:rPr>
          <w:sz w:val="20"/>
          <w:szCs w:val="20"/>
          <w:lang w:val="en-GB"/>
        </w:rPr>
        <w:t>Data61</w:t>
      </w:r>
      <w:r w:rsidR="00153A5F">
        <w:rPr>
          <w:sz w:val="20"/>
          <w:szCs w:val="20"/>
          <w:lang w:val="en-GB"/>
        </w:rPr>
        <w:t>.</w:t>
      </w:r>
    </w:p>
    <w:p w14:paraId="72DB4DDE" w14:textId="269AD72F" w:rsidR="00A14BEC" w:rsidRDefault="00A14BEC" w:rsidP="001F2786">
      <w:pPr>
        <w:pStyle w:val="Default"/>
        <w:spacing w:after="80"/>
        <w:jc w:val="both"/>
        <w:rPr>
          <w:sz w:val="20"/>
          <w:szCs w:val="20"/>
          <w:lang w:val="en-AU"/>
        </w:rPr>
      </w:pPr>
      <w:r w:rsidRPr="00673767">
        <w:rPr>
          <w:sz w:val="20"/>
          <w:szCs w:val="20"/>
          <w:lang w:val="en-AU"/>
        </w:rPr>
        <w:t xml:space="preserve">DFAT sections </w:t>
      </w:r>
      <w:r w:rsidR="00A9400D">
        <w:rPr>
          <w:sz w:val="20"/>
          <w:szCs w:val="20"/>
          <w:lang w:val="en-AU"/>
        </w:rPr>
        <w:t>that</w:t>
      </w:r>
      <w:r w:rsidR="0091583C">
        <w:rPr>
          <w:sz w:val="20"/>
          <w:szCs w:val="20"/>
          <w:lang w:val="en-AU"/>
        </w:rPr>
        <w:t xml:space="preserve"> had worked in partnership with the iXc </w:t>
      </w:r>
      <w:r w:rsidR="00F437C7">
        <w:rPr>
          <w:sz w:val="20"/>
          <w:szCs w:val="20"/>
          <w:lang w:val="en-AU"/>
        </w:rPr>
        <w:t>rated</w:t>
      </w:r>
      <w:r w:rsidRPr="00673767">
        <w:rPr>
          <w:sz w:val="20"/>
          <w:szCs w:val="20"/>
          <w:lang w:val="en-AU"/>
        </w:rPr>
        <w:t xml:space="preserve"> </w:t>
      </w:r>
      <w:r w:rsidR="006226B6">
        <w:rPr>
          <w:sz w:val="20"/>
          <w:szCs w:val="20"/>
          <w:lang w:val="en-AU"/>
        </w:rPr>
        <w:t xml:space="preserve">their </w:t>
      </w:r>
      <w:r w:rsidRPr="00673767">
        <w:rPr>
          <w:sz w:val="20"/>
          <w:szCs w:val="20"/>
          <w:lang w:val="en-AU"/>
        </w:rPr>
        <w:t>partnership as moderate</w:t>
      </w:r>
      <w:r w:rsidR="00F437C7">
        <w:rPr>
          <w:sz w:val="20"/>
          <w:szCs w:val="20"/>
          <w:lang w:val="en-AU"/>
        </w:rPr>
        <w:t>ly</w:t>
      </w:r>
      <w:r w:rsidRPr="00673767">
        <w:rPr>
          <w:sz w:val="20"/>
          <w:szCs w:val="20"/>
          <w:lang w:val="en-AU"/>
        </w:rPr>
        <w:t xml:space="preserve"> success</w:t>
      </w:r>
      <w:r w:rsidR="00F437C7">
        <w:rPr>
          <w:sz w:val="20"/>
          <w:szCs w:val="20"/>
          <w:lang w:val="en-AU"/>
        </w:rPr>
        <w:t>ful</w:t>
      </w:r>
      <w:r w:rsidR="00921E11" w:rsidRPr="00673767">
        <w:rPr>
          <w:sz w:val="20"/>
          <w:szCs w:val="20"/>
          <w:lang w:val="en-AU"/>
        </w:rPr>
        <w:t xml:space="preserve">. </w:t>
      </w:r>
      <w:r w:rsidR="009D45DD" w:rsidRPr="009D45DD">
        <w:rPr>
          <w:sz w:val="20"/>
          <w:szCs w:val="20"/>
          <w:lang w:val="en-AU"/>
        </w:rPr>
        <w:t>Interview respondents identified i) good personal relationships, ii) partnership in designing programs and iii) networking with external partners as key strengths of their engagement with the iXc.</w:t>
      </w:r>
      <w:r w:rsidRPr="00673767">
        <w:rPr>
          <w:sz w:val="20"/>
          <w:szCs w:val="20"/>
          <w:lang w:val="en-AU"/>
        </w:rPr>
        <w:t xml:space="preserve"> </w:t>
      </w:r>
      <w:r w:rsidR="00670AFC" w:rsidRPr="00673767">
        <w:rPr>
          <w:sz w:val="20"/>
          <w:szCs w:val="20"/>
          <w:lang w:val="en-AU"/>
        </w:rPr>
        <w:t xml:space="preserve">It is also significant that DFAT staff believed both the culture around innovative practice and capability to implement innovative </w:t>
      </w:r>
      <w:r w:rsidR="00670AFC" w:rsidRPr="009D32C8">
        <w:rPr>
          <w:sz w:val="20"/>
          <w:szCs w:val="20"/>
          <w:lang w:val="en-AU"/>
        </w:rPr>
        <w:t xml:space="preserve">programming had </w:t>
      </w:r>
      <w:r w:rsidR="00670AFC">
        <w:rPr>
          <w:sz w:val="20"/>
          <w:szCs w:val="20"/>
          <w:lang w:val="en-AU"/>
        </w:rPr>
        <w:t>strengthened in the three years since the iXc was established</w:t>
      </w:r>
      <w:r w:rsidR="00670AFC" w:rsidRPr="009D32C8">
        <w:rPr>
          <w:sz w:val="20"/>
          <w:szCs w:val="20"/>
          <w:lang w:val="en-AU"/>
        </w:rPr>
        <w:t>.</w:t>
      </w:r>
      <w:r w:rsidR="00554042">
        <w:rPr>
          <w:rStyle w:val="FootnoteReference"/>
          <w:sz w:val="20"/>
          <w:szCs w:val="20"/>
          <w:lang w:val="en-AU"/>
        </w:rPr>
        <w:footnoteReference w:id="15"/>
      </w:r>
    </w:p>
    <w:p w14:paraId="26820B19" w14:textId="13C6487D" w:rsidR="00A14BEC" w:rsidRPr="00073CF5" w:rsidRDefault="00A14BEC" w:rsidP="000C520D">
      <w:pPr>
        <w:pStyle w:val="Quote"/>
        <w:rPr>
          <w:color w:val="007B88" w:themeColor="accent1" w:themeShade="BF"/>
          <w:sz w:val="20"/>
          <w:szCs w:val="20"/>
          <w:lang w:val="en-AU"/>
        </w:rPr>
      </w:pPr>
      <w:r>
        <w:rPr>
          <w:color w:val="007B88" w:themeColor="accent1" w:themeShade="BF"/>
          <w:sz w:val="20"/>
          <w:szCs w:val="20"/>
          <w:lang w:val="en-AU"/>
        </w:rPr>
        <w:t>DFAT</w:t>
      </w:r>
      <w:r w:rsidRPr="00650BD7">
        <w:rPr>
          <w:color w:val="007B88" w:themeColor="accent1" w:themeShade="BF"/>
          <w:sz w:val="20"/>
          <w:szCs w:val="20"/>
          <w:lang w:val="en-AU"/>
        </w:rPr>
        <w:t xml:space="preserve"> </w:t>
      </w:r>
      <w:r>
        <w:rPr>
          <w:color w:val="007B88" w:themeColor="accent1" w:themeShade="BF"/>
          <w:sz w:val="20"/>
          <w:szCs w:val="20"/>
          <w:lang w:val="en-AU"/>
        </w:rPr>
        <w:t xml:space="preserve">sections </w:t>
      </w:r>
      <w:r w:rsidRPr="00650BD7">
        <w:rPr>
          <w:color w:val="007B88" w:themeColor="accent1" w:themeShade="BF"/>
          <w:sz w:val="20"/>
          <w:szCs w:val="20"/>
          <w:lang w:val="en-AU"/>
        </w:rPr>
        <w:t>rated the</w:t>
      </w:r>
      <w:r>
        <w:rPr>
          <w:color w:val="007B88" w:themeColor="accent1" w:themeShade="BF"/>
          <w:sz w:val="20"/>
          <w:szCs w:val="20"/>
          <w:lang w:val="en-AU"/>
        </w:rPr>
        <w:t xml:space="preserve"> success of their </w:t>
      </w:r>
      <w:r w:rsidRPr="00650BD7">
        <w:rPr>
          <w:color w:val="007B88" w:themeColor="accent1" w:themeShade="BF"/>
          <w:sz w:val="20"/>
          <w:szCs w:val="20"/>
          <w:lang w:val="en-AU"/>
        </w:rPr>
        <w:t>partnership</w:t>
      </w:r>
      <w:r>
        <w:rPr>
          <w:color w:val="007B88" w:themeColor="accent1" w:themeShade="BF"/>
          <w:sz w:val="20"/>
          <w:szCs w:val="20"/>
          <w:lang w:val="en-AU"/>
        </w:rPr>
        <w:t>s</w:t>
      </w:r>
      <w:r w:rsidRPr="00650BD7">
        <w:rPr>
          <w:color w:val="007B88" w:themeColor="accent1" w:themeShade="BF"/>
          <w:sz w:val="20"/>
          <w:szCs w:val="20"/>
          <w:lang w:val="en-AU"/>
        </w:rPr>
        <w:t xml:space="preserve"> with the iXc as </w:t>
      </w:r>
      <w:r>
        <w:rPr>
          <w:color w:val="007B88" w:themeColor="accent1" w:themeShade="BF"/>
          <w:sz w:val="20"/>
          <w:szCs w:val="20"/>
          <w:lang w:val="en-AU"/>
        </w:rPr>
        <w:t>3.5</w:t>
      </w:r>
      <w:r w:rsidRPr="00650BD7">
        <w:rPr>
          <w:color w:val="007B88" w:themeColor="accent1" w:themeShade="BF"/>
          <w:sz w:val="20"/>
          <w:szCs w:val="20"/>
          <w:lang w:val="en-AU"/>
        </w:rPr>
        <w:t xml:space="preserve"> out of 5</w:t>
      </w:r>
      <w:r>
        <w:rPr>
          <w:color w:val="007B88" w:themeColor="accent1" w:themeShade="BF"/>
          <w:sz w:val="20"/>
          <w:szCs w:val="20"/>
          <w:lang w:val="en-AU"/>
        </w:rPr>
        <w:t xml:space="preserve">                     </w:t>
      </w:r>
      <w:r w:rsidRPr="00650BD7">
        <w:rPr>
          <w:color w:val="007B88" w:themeColor="accent1" w:themeShade="BF"/>
          <w:sz w:val="20"/>
          <w:szCs w:val="20"/>
          <w:lang w:val="en-AU"/>
        </w:rPr>
        <w:t>(</w:t>
      </w:r>
      <w:r>
        <w:rPr>
          <w:color w:val="007B88" w:themeColor="accent1" w:themeShade="BF"/>
          <w:sz w:val="20"/>
          <w:szCs w:val="20"/>
          <w:lang w:val="en-AU"/>
        </w:rPr>
        <w:t xml:space="preserve">on a scale of </w:t>
      </w:r>
      <w:r w:rsidRPr="00650BD7">
        <w:rPr>
          <w:color w:val="007B88" w:themeColor="accent1" w:themeShade="BF"/>
          <w:sz w:val="20"/>
          <w:szCs w:val="20"/>
          <w:lang w:val="en-AU"/>
        </w:rPr>
        <w:t>1</w:t>
      </w:r>
      <w:r>
        <w:rPr>
          <w:color w:val="007B88" w:themeColor="accent1" w:themeShade="BF"/>
          <w:sz w:val="20"/>
          <w:szCs w:val="20"/>
          <w:lang w:val="en-AU"/>
        </w:rPr>
        <w:t xml:space="preserve">, </w:t>
      </w:r>
      <w:r w:rsidRPr="00650BD7">
        <w:rPr>
          <w:color w:val="007B88" w:themeColor="accent1" w:themeShade="BF"/>
          <w:sz w:val="20"/>
          <w:szCs w:val="20"/>
          <w:lang w:val="en-AU"/>
        </w:rPr>
        <w:t>least successful</w:t>
      </w:r>
      <w:r>
        <w:rPr>
          <w:color w:val="007B88" w:themeColor="accent1" w:themeShade="BF"/>
          <w:sz w:val="20"/>
          <w:szCs w:val="20"/>
          <w:lang w:val="en-AU"/>
        </w:rPr>
        <w:t>,</w:t>
      </w:r>
      <w:r w:rsidRPr="00650BD7">
        <w:rPr>
          <w:color w:val="007B88" w:themeColor="accent1" w:themeShade="BF"/>
          <w:sz w:val="20"/>
          <w:szCs w:val="20"/>
          <w:lang w:val="en-AU"/>
        </w:rPr>
        <w:t xml:space="preserve"> to 5</w:t>
      </w:r>
      <w:r>
        <w:rPr>
          <w:color w:val="007B88" w:themeColor="accent1" w:themeShade="BF"/>
          <w:sz w:val="20"/>
          <w:szCs w:val="20"/>
          <w:lang w:val="en-AU"/>
        </w:rPr>
        <w:t xml:space="preserve">, </w:t>
      </w:r>
      <w:r w:rsidRPr="00650BD7">
        <w:rPr>
          <w:color w:val="007B88" w:themeColor="accent1" w:themeShade="BF"/>
          <w:sz w:val="20"/>
          <w:szCs w:val="20"/>
          <w:lang w:val="en-AU"/>
        </w:rPr>
        <w:t>most successful)</w:t>
      </w:r>
    </w:p>
    <w:p w14:paraId="1724B62F" w14:textId="112A3A04" w:rsidR="005B20AA" w:rsidRDefault="00B83CD6" w:rsidP="001F2786">
      <w:pPr>
        <w:pStyle w:val="Default"/>
        <w:spacing w:after="80"/>
        <w:jc w:val="both"/>
        <w:rPr>
          <w:sz w:val="20"/>
          <w:szCs w:val="20"/>
          <w:lang w:val="en-AU"/>
        </w:rPr>
      </w:pPr>
      <w:r>
        <w:rPr>
          <w:sz w:val="20"/>
          <w:szCs w:val="20"/>
          <w:lang w:val="en-AU"/>
        </w:rPr>
        <w:t>For internal partners, the</w:t>
      </w:r>
      <w:r w:rsidR="00851A46" w:rsidRPr="009D32C8">
        <w:rPr>
          <w:sz w:val="20"/>
          <w:szCs w:val="20"/>
          <w:lang w:val="en-AU"/>
        </w:rPr>
        <w:t xml:space="preserve"> iXc’s appeal </w:t>
      </w:r>
      <w:r w:rsidR="006226B6">
        <w:rPr>
          <w:sz w:val="20"/>
          <w:szCs w:val="20"/>
          <w:lang w:val="en-AU"/>
        </w:rPr>
        <w:t>lay</w:t>
      </w:r>
      <w:r w:rsidR="006226B6" w:rsidRPr="009D32C8">
        <w:rPr>
          <w:sz w:val="20"/>
          <w:szCs w:val="20"/>
          <w:lang w:val="en-AU"/>
        </w:rPr>
        <w:t xml:space="preserve"> </w:t>
      </w:r>
      <w:r w:rsidR="00851A46" w:rsidRPr="009D32C8">
        <w:rPr>
          <w:sz w:val="20"/>
          <w:szCs w:val="20"/>
          <w:lang w:val="en-AU"/>
        </w:rPr>
        <w:t xml:space="preserve">with its innovation expertise, co-funding, and </w:t>
      </w:r>
      <w:r w:rsidR="00F437C7">
        <w:rPr>
          <w:sz w:val="20"/>
          <w:szCs w:val="20"/>
          <w:lang w:val="en-AU"/>
        </w:rPr>
        <w:t>greater</w:t>
      </w:r>
      <w:r w:rsidR="00F437C7" w:rsidRPr="009D32C8">
        <w:rPr>
          <w:sz w:val="20"/>
          <w:szCs w:val="20"/>
          <w:lang w:val="en-AU"/>
        </w:rPr>
        <w:t xml:space="preserve"> </w:t>
      </w:r>
      <w:r w:rsidR="00851A46" w:rsidRPr="009D32C8">
        <w:rPr>
          <w:sz w:val="20"/>
          <w:szCs w:val="20"/>
          <w:lang w:val="en-AU"/>
        </w:rPr>
        <w:t>risk appetite</w:t>
      </w:r>
      <w:r w:rsidR="00851A46">
        <w:rPr>
          <w:sz w:val="20"/>
          <w:szCs w:val="20"/>
          <w:lang w:val="en-AU"/>
        </w:rPr>
        <w:t xml:space="preserve"> relative to other departments</w:t>
      </w:r>
      <w:r w:rsidR="00851A46" w:rsidRPr="009D32C8">
        <w:rPr>
          <w:sz w:val="20"/>
          <w:szCs w:val="20"/>
          <w:lang w:val="en-AU"/>
        </w:rPr>
        <w:t xml:space="preserve">. All of the interview respondents noted that the most important </w:t>
      </w:r>
      <w:r w:rsidR="005B20AA">
        <w:rPr>
          <w:sz w:val="20"/>
          <w:szCs w:val="20"/>
          <w:lang w:val="en-AU"/>
        </w:rPr>
        <w:t>element</w:t>
      </w:r>
      <w:r w:rsidR="00851A46" w:rsidRPr="009D32C8">
        <w:rPr>
          <w:sz w:val="20"/>
          <w:szCs w:val="20"/>
          <w:lang w:val="en-AU"/>
        </w:rPr>
        <w:t xml:space="preserve"> of their </w:t>
      </w:r>
      <w:r>
        <w:rPr>
          <w:sz w:val="20"/>
          <w:szCs w:val="20"/>
          <w:lang w:val="en-AU"/>
        </w:rPr>
        <w:t>collaboration</w:t>
      </w:r>
      <w:r w:rsidR="00851A46" w:rsidRPr="009D32C8">
        <w:rPr>
          <w:sz w:val="20"/>
          <w:szCs w:val="20"/>
          <w:lang w:val="en-AU"/>
        </w:rPr>
        <w:t xml:space="preserve"> with the iXc was the innovation skillset and tools the iXc </w:t>
      </w:r>
      <w:r w:rsidR="005B20AA">
        <w:rPr>
          <w:sz w:val="20"/>
          <w:szCs w:val="20"/>
          <w:lang w:val="en-AU"/>
        </w:rPr>
        <w:t>offered</w:t>
      </w:r>
      <w:r w:rsidR="00851A46" w:rsidRPr="009D32C8">
        <w:rPr>
          <w:sz w:val="20"/>
          <w:szCs w:val="20"/>
          <w:lang w:val="en-AU"/>
        </w:rPr>
        <w:t xml:space="preserve">. </w:t>
      </w:r>
      <w:r w:rsidR="005642C0">
        <w:rPr>
          <w:sz w:val="20"/>
          <w:szCs w:val="20"/>
          <w:lang w:val="en-AU"/>
        </w:rPr>
        <w:t>Several</w:t>
      </w:r>
      <w:r w:rsidR="00851A46">
        <w:rPr>
          <w:sz w:val="20"/>
          <w:szCs w:val="20"/>
          <w:lang w:val="en-AU"/>
        </w:rPr>
        <w:t xml:space="preserve"> respondent</w:t>
      </w:r>
      <w:r w:rsidR="005642C0">
        <w:rPr>
          <w:sz w:val="20"/>
          <w:szCs w:val="20"/>
          <w:lang w:val="en-AU"/>
        </w:rPr>
        <w:t>s</w:t>
      </w:r>
      <w:r w:rsidR="00851A46" w:rsidRPr="009D32C8">
        <w:rPr>
          <w:sz w:val="20"/>
          <w:szCs w:val="20"/>
          <w:lang w:val="en-AU"/>
        </w:rPr>
        <w:t xml:space="preserve"> highlighted the value of the iXc</w:t>
      </w:r>
      <w:r w:rsidR="005B20AA">
        <w:rPr>
          <w:sz w:val="20"/>
          <w:szCs w:val="20"/>
          <w:lang w:val="en-AU"/>
        </w:rPr>
        <w:t xml:space="preserve">’s </w:t>
      </w:r>
      <w:hyperlink r:id="rId60" w:history="1">
        <w:r w:rsidR="00851A46" w:rsidRPr="002921E5">
          <w:rPr>
            <w:rStyle w:val="Hyperlink"/>
            <w:sz w:val="20"/>
            <w:szCs w:val="20"/>
            <w:lang w:val="en-AU"/>
          </w:rPr>
          <w:t>Innovation Resource Facility</w:t>
        </w:r>
      </w:hyperlink>
      <w:r w:rsidR="00851A46" w:rsidRPr="009D32C8">
        <w:rPr>
          <w:sz w:val="20"/>
          <w:szCs w:val="20"/>
          <w:lang w:val="en-AU"/>
        </w:rPr>
        <w:t xml:space="preserve"> </w:t>
      </w:r>
      <w:r w:rsidR="005B20AA">
        <w:rPr>
          <w:sz w:val="20"/>
          <w:szCs w:val="20"/>
          <w:lang w:val="en-AU"/>
        </w:rPr>
        <w:t>in</w:t>
      </w:r>
      <w:r w:rsidR="00851A46" w:rsidRPr="009D32C8">
        <w:rPr>
          <w:sz w:val="20"/>
          <w:szCs w:val="20"/>
          <w:lang w:val="en-AU"/>
        </w:rPr>
        <w:t xml:space="preserve"> provid</w:t>
      </w:r>
      <w:r w:rsidR="005B20AA">
        <w:rPr>
          <w:sz w:val="20"/>
          <w:szCs w:val="20"/>
          <w:lang w:val="en-AU"/>
        </w:rPr>
        <w:t xml:space="preserve">ing </w:t>
      </w:r>
      <w:r w:rsidR="00851A46" w:rsidRPr="009D32C8">
        <w:rPr>
          <w:sz w:val="20"/>
          <w:szCs w:val="20"/>
          <w:lang w:val="en-AU"/>
        </w:rPr>
        <w:t>specific and deep expertise through connections and outside experts</w:t>
      </w:r>
      <w:r w:rsidR="005642C0">
        <w:rPr>
          <w:sz w:val="20"/>
          <w:szCs w:val="20"/>
          <w:lang w:val="en-AU"/>
        </w:rPr>
        <w:t xml:space="preserve"> in areas including </w:t>
      </w:r>
      <w:r w:rsidR="00851A46" w:rsidRPr="005642C0">
        <w:rPr>
          <w:sz w:val="20"/>
          <w:szCs w:val="20"/>
          <w:lang w:val="en-AU"/>
        </w:rPr>
        <w:t>finance, impact investing, and monitoring, evaluation and learning.</w:t>
      </w:r>
      <w:r w:rsidR="005B20AA">
        <w:rPr>
          <w:sz w:val="20"/>
          <w:szCs w:val="20"/>
          <w:lang w:val="en-AU"/>
        </w:rPr>
        <w:t xml:space="preserve"> </w:t>
      </w:r>
      <w:r w:rsidR="00851A46" w:rsidRPr="009D32C8">
        <w:rPr>
          <w:sz w:val="20"/>
          <w:szCs w:val="20"/>
          <w:lang w:val="en-AU"/>
        </w:rPr>
        <w:t xml:space="preserve">In addition to innovation expertise, co-funding for programs </w:t>
      </w:r>
      <w:r w:rsidR="005B20AA">
        <w:rPr>
          <w:sz w:val="20"/>
          <w:szCs w:val="20"/>
          <w:lang w:val="en-AU"/>
        </w:rPr>
        <w:t>emerged as</w:t>
      </w:r>
      <w:r w:rsidR="00851A46" w:rsidRPr="009D32C8">
        <w:rPr>
          <w:sz w:val="20"/>
          <w:szCs w:val="20"/>
          <w:lang w:val="en-AU"/>
        </w:rPr>
        <w:t xml:space="preserve"> a key incentive for iXc partnership</w:t>
      </w:r>
      <w:r w:rsidR="007150E6">
        <w:rPr>
          <w:sz w:val="20"/>
          <w:szCs w:val="20"/>
          <w:lang w:val="en-AU"/>
        </w:rPr>
        <w:t xml:space="preserve">, with </w:t>
      </w:r>
      <w:r w:rsidR="00A9400D">
        <w:rPr>
          <w:sz w:val="20"/>
          <w:szCs w:val="20"/>
          <w:lang w:val="en-AU"/>
        </w:rPr>
        <w:t>50%</w:t>
      </w:r>
      <w:r w:rsidR="00851A46" w:rsidRPr="009D32C8">
        <w:rPr>
          <w:sz w:val="20"/>
          <w:szCs w:val="20"/>
          <w:lang w:val="en-AU"/>
        </w:rPr>
        <w:t xml:space="preserve"> of those interviewed not</w:t>
      </w:r>
      <w:r w:rsidR="007150E6">
        <w:rPr>
          <w:sz w:val="20"/>
          <w:szCs w:val="20"/>
          <w:lang w:val="en-AU"/>
        </w:rPr>
        <w:t>ing co-funding</w:t>
      </w:r>
      <w:r w:rsidR="006226B6">
        <w:rPr>
          <w:sz w:val="20"/>
          <w:szCs w:val="20"/>
          <w:lang w:val="en-AU"/>
        </w:rPr>
        <w:t xml:space="preserve"> from the iXc to support their programs</w:t>
      </w:r>
      <w:r w:rsidR="007150E6">
        <w:rPr>
          <w:sz w:val="20"/>
          <w:szCs w:val="20"/>
          <w:lang w:val="en-AU"/>
        </w:rPr>
        <w:t xml:space="preserve"> was</w:t>
      </w:r>
      <w:r w:rsidR="00851A46" w:rsidRPr="009D32C8">
        <w:rPr>
          <w:sz w:val="20"/>
          <w:szCs w:val="20"/>
          <w:lang w:val="en-AU"/>
        </w:rPr>
        <w:t xml:space="preserve"> the reason for pursuing </w:t>
      </w:r>
      <w:r w:rsidR="007150E6">
        <w:rPr>
          <w:sz w:val="20"/>
          <w:szCs w:val="20"/>
          <w:lang w:val="en-AU"/>
        </w:rPr>
        <w:t>a</w:t>
      </w:r>
      <w:r w:rsidR="00E74733">
        <w:rPr>
          <w:sz w:val="20"/>
          <w:szCs w:val="20"/>
          <w:lang w:val="en-AU"/>
        </w:rPr>
        <w:t xml:space="preserve"> </w:t>
      </w:r>
      <w:r w:rsidR="00851A46" w:rsidRPr="009D32C8">
        <w:rPr>
          <w:sz w:val="20"/>
          <w:szCs w:val="20"/>
          <w:lang w:val="en-AU"/>
        </w:rPr>
        <w:t xml:space="preserve">partnership. </w:t>
      </w:r>
    </w:p>
    <w:p w14:paraId="7208C3FE" w14:textId="7339E55F" w:rsidR="005B20AA" w:rsidRPr="005B20AA" w:rsidRDefault="00851A46" w:rsidP="00B83CD6">
      <w:pPr>
        <w:pStyle w:val="Quote"/>
        <w:rPr>
          <w:color w:val="007B88" w:themeColor="accent1" w:themeShade="BF"/>
          <w:sz w:val="20"/>
          <w:szCs w:val="20"/>
          <w:lang w:val="en-AU"/>
        </w:rPr>
      </w:pPr>
      <w:r w:rsidRPr="005B20AA">
        <w:rPr>
          <w:color w:val="007B88" w:themeColor="accent1" w:themeShade="BF"/>
          <w:sz w:val="20"/>
          <w:szCs w:val="20"/>
          <w:lang w:val="en-AU"/>
        </w:rPr>
        <w:t xml:space="preserve">“I would reach out to [the iXc] when you think something is </w:t>
      </w:r>
      <w:r w:rsidR="005570AF">
        <w:rPr>
          <w:color w:val="007B88" w:themeColor="accent1" w:themeShade="BF"/>
          <w:sz w:val="20"/>
          <w:szCs w:val="20"/>
          <w:lang w:val="en-AU"/>
        </w:rPr>
        <w:t xml:space="preserve">innovative </w:t>
      </w:r>
      <w:r w:rsidRPr="005B20AA">
        <w:rPr>
          <w:color w:val="007B88" w:themeColor="accent1" w:themeShade="BF"/>
          <w:sz w:val="20"/>
          <w:szCs w:val="20"/>
          <w:lang w:val="en-AU"/>
        </w:rPr>
        <w:t>- my understanding is that there is room to take risk and do something a little different.”</w:t>
      </w:r>
      <w:r w:rsidR="00BF08CD">
        <w:rPr>
          <w:color w:val="007B88" w:themeColor="accent1" w:themeShade="BF"/>
          <w:sz w:val="20"/>
          <w:szCs w:val="20"/>
          <w:lang w:val="en-AU"/>
        </w:rPr>
        <w:t xml:space="preserve"> </w:t>
      </w:r>
      <w:r w:rsidR="00BF08CD" w:rsidRPr="00BD37E4">
        <w:rPr>
          <w:i w:val="0"/>
          <w:color w:val="007B88" w:themeColor="accent1" w:themeShade="BF"/>
          <w:sz w:val="20"/>
          <w:szCs w:val="20"/>
          <w:lang w:val="en-AU"/>
        </w:rPr>
        <w:t>– Internal partner</w:t>
      </w:r>
    </w:p>
    <w:p w14:paraId="14696B47" w14:textId="1A15545C" w:rsidR="006F4EFB" w:rsidRPr="00473983" w:rsidRDefault="006F4EFB" w:rsidP="00F3060A">
      <w:pPr>
        <w:pStyle w:val="Default"/>
        <w:spacing w:after="80"/>
        <w:jc w:val="both"/>
        <w:rPr>
          <w:sz w:val="20"/>
          <w:szCs w:val="20"/>
          <w:lang w:val="en-AU"/>
        </w:rPr>
      </w:pPr>
      <w:r w:rsidRPr="00C63C8D">
        <w:rPr>
          <w:sz w:val="20"/>
          <w:szCs w:val="20"/>
          <w:lang w:val="en-AU"/>
        </w:rPr>
        <w:t>The iXc also aimed to encourage DFAT programs</w:t>
      </w:r>
      <w:r w:rsidR="003D6A1D">
        <w:rPr>
          <w:sz w:val="20"/>
          <w:szCs w:val="20"/>
          <w:lang w:val="en-AU"/>
        </w:rPr>
        <w:t xml:space="preserve"> to take up</w:t>
      </w:r>
      <w:r w:rsidRPr="00C63C8D">
        <w:rPr>
          <w:sz w:val="20"/>
          <w:szCs w:val="20"/>
          <w:lang w:val="en-AU"/>
        </w:rPr>
        <w:t xml:space="preserve"> successful ideas piloted and supported through other innovation funds it invested in, </w:t>
      </w:r>
      <w:r w:rsidRPr="00473983">
        <w:rPr>
          <w:sz w:val="20"/>
          <w:szCs w:val="20"/>
          <w:lang w:val="en-AU"/>
        </w:rPr>
        <w:t xml:space="preserve">most </w:t>
      </w:r>
      <w:r w:rsidR="003D6A1D" w:rsidRPr="00473983">
        <w:rPr>
          <w:sz w:val="20"/>
          <w:szCs w:val="20"/>
          <w:lang w:val="en-AU"/>
        </w:rPr>
        <w:t>notably</w:t>
      </w:r>
      <w:r w:rsidRPr="00473983">
        <w:rPr>
          <w:sz w:val="20"/>
          <w:szCs w:val="20"/>
          <w:lang w:val="en-AU"/>
        </w:rPr>
        <w:t xml:space="preserve"> the </w:t>
      </w:r>
      <w:hyperlink r:id="rId61" w:history="1">
        <w:r w:rsidRPr="00473983">
          <w:rPr>
            <w:rStyle w:val="Hyperlink"/>
            <w:sz w:val="20"/>
            <w:szCs w:val="20"/>
            <w:lang w:val="en-AU"/>
          </w:rPr>
          <w:t>Global Innovation Fund</w:t>
        </w:r>
      </w:hyperlink>
      <w:r w:rsidRPr="00473983">
        <w:rPr>
          <w:sz w:val="20"/>
          <w:szCs w:val="20"/>
          <w:lang w:val="en-AU"/>
        </w:rPr>
        <w:t xml:space="preserve"> and the </w:t>
      </w:r>
      <w:hyperlink r:id="rId62" w:history="1">
        <w:r w:rsidRPr="00473983">
          <w:rPr>
            <w:rStyle w:val="Hyperlink"/>
            <w:sz w:val="20"/>
            <w:szCs w:val="20"/>
            <w:lang w:val="en-AU"/>
          </w:rPr>
          <w:t>Water Innovation Engine</w:t>
        </w:r>
      </w:hyperlink>
      <w:r w:rsidRPr="00473983">
        <w:rPr>
          <w:sz w:val="20"/>
          <w:szCs w:val="20"/>
          <w:lang w:val="en-AU"/>
        </w:rPr>
        <w:t xml:space="preserve">. </w:t>
      </w:r>
      <w:r w:rsidR="00F3060A" w:rsidRPr="00473983">
        <w:rPr>
          <w:sz w:val="20"/>
          <w:szCs w:val="20"/>
          <w:lang w:val="en-AU"/>
        </w:rPr>
        <w:t>However, at the time of review, there wa</w:t>
      </w:r>
      <w:r w:rsidRPr="00473983">
        <w:rPr>
          <w:sz w:val="20"/>
          <w:szCs w:val="20"/>
          <w:lang w:val="en-AU"/>
        </w:rPr>
        <w:t xml:space="preserve">s </w:t>
      </w:r>
      <w:r w:rsidR="00007492" w:rsidRPr="00473983">
        <w:rPr>
          <w:sz w:val="20"/>
          <w:szCs w:val="20"/>
          <w:lang w:val="en-AU"/>
        </w:rPr>
        <w:t>not yet evidence of the successful transfer of an innovation developed by either program into DFAT, highlighting</w:t>
      </w:r>
      <w:r w:rsidRPr="00473983">
        <w:rPr>
          <w:sz w:val="20"/>
          <w:szCs w:val="20"/>
          <w:lang w:val="en-AU"/>
        </w:rPr>
        <w:t xml:space="preserve"> a broader problem with the visibility and transferability of innovations from different contexts. </w:t>
      </w:r>
      <w:r w:rsidR="00F3060A" w:rsidRPr="00473983">
        <w:rPr>
          <w:sz w:val="20"/>
          <w:szCs w:val="20"/>
          <w:lang w:val="en-AU"/>
        </w:rPr>
        <w:t>For example, although t</w:t>
      </w:r>
      <w:r w:rsidRPr="00473983">
        <w:rPr>
          <w:sz w:val="20"/>
          <w:szCs w:val="20"/>
          <w:lang w:val="en-AU"/>
        </w:rPr>
        <w:t xml:space="preserve">he iXc invested alongside other partners in the </w:t>
      </w:r>
      <w:hyperlink r:id="rId63" w:history="1">
        <w:r w:rsidRPr="00473983">
          <w:rPr>
            <w:rStyle w:val="Hyperlink"/>
            <w:sz w:val="20"/>
            <w:szCs w:val="20"/>
            <w:lang w:val="en-AU"/>
          </w:rPr>
          <w:t xml:space="preserve">Global Innovation </w:t>
        </w:r>
        <w:r w:rsidRPr="00473983">
          <w:rPr>
            <w:rStyle w:val="Hyperlink"/>
            <w:sz w:val="20"/>
            <w:szCs w:val="20"/>
            <w:lang w:val="en-AU"/>
          </w:rPr>
          <w:lastRenderedPageBreak/>
          <w:t>Exchange</w:t>
        </w:r>
      </w:hyperlink>
      <w:r w:rsidR="00F3060A" w:rsidRPr="00473983">
        <w:rPr>
          <w:sz w:val="20"/>
          <w:szCs w:val="20"/>
          <w:lang w:val="en-AU"/>
        </w:rPr>
        <w:t xml:space="preserve"> (</w:t>
      </w:r>
      <w:r w:rsidRPr="00473983">
        <w:rPr>
          <w:sz w:val="20"/>
          <w:szCs w:val="20"/>
          <w:lang w:val="en-AU"/>
        </w:rPr>
        <w:t>a platform to help innovators find investors</w:t>
      </w:r>
      <w:r w:rsidR="00F3060A" w:rsidRPr="00473983">
        <w:rPr>
          <w:sz w:val="20"/>
          <w:szCs w:val="20"/>
          <w:lang w:val="en-AU"/>
        </w:rPr>
        <w:t>),</w:t>
      </w:r>
      <w:r w:rsidRPr="00473983">
        <w:rPr>
          <w:sz w:val="20"/>
          <w:szCs w:val="20"/>
          <w:lang w:val="en-AU"/>
        </w:rPr>
        <w:t xml:space="preserve"> this platform was not widely known or used by staff in DFAT to identify innovations they could test in their programs.   </w:t>
      </w:r>
    </w:p>
    <w:p w14:paraId="02FBBBEA" w14:textId="0BD75411" w:rsidR="006A3AF1" w:rsidRPr="00473983" w:rsidRDefault="007C3464" w:rsidP="00AC2762">
      <w:pPr>
        <w:spacing w:after="80"/>
        <w:jc w:val="both"/>
        <w:rPr>
          <w:rFonts w:ascii="Calibri" w:eastAsia="Times New Roman" w:hAnsi="Calibri" w:cs="Times New Roman"/>
          <w:color w:val="000000"/>
          <w:sz w:val="20"/>
          <w:szCs w:val="20"/>
          <w:lang w:val="en-AU"/>
        </w:rPr>
      </w:pPr>
      <w:r w:rsidRPr="00473983">
        <w:rPr>
          <w:b/>
          <w:color w:val="00A6B6" w:themeColor="accent1"/>
          <w:sz w:val="20"/>
          <w:szCs w:val="20"/>
        </w:rPr>
        <w:t>Recommendations:</w:t>
      </w:r>
      <w:r w:rsidRPr="00473983">
        <w:rPr>
          <w:color w:val="00A6B6" w:themeColor="accent1"/>
          <w:sz w:val="20"/>
          <w:szCs w:val="20"/>
        </w:rPr>
        <w:t xml:space="preserve"> </w:t>
      </w:r>
      <w:r w:rsidR="00F437C7" w:rsidRPr="00473983">
        <w:rPr>
          <w:rFonts w:ascii="Calibri" w:eastAsia="Times New Roman" w:hAnsi="Calibri" w:cs="Times New Roman"/>
          <w:color w:val="000000"/>
          <w:sz w:val="20"/>
          <w:szCs w:val="20"/>
          <w:lang w:val="en-AU"/>
        </w:rPr>
        <w:t>Going forward, t</w:t>
      </w:r>
      <w:r w:rsidR="00851A46" w:rsidRPr="00473983">
        <w:rPr>
          <w:rFonts w:ascii="Calibri" w:eastAsia="Times New Roman" w:hAnsi="Calibri" w:cs="Times New Roman"/>
          <w:color w:val="000000"/>
          <w:sz w:val="20"/>
          <w:szCs w:val="20"/>
          <w:lang w:val="en-AU"/>
        </w:rPr>
        <w:t>he iXc should focus on</w:t>
      </w:r>
      <w:r w:rsidR="006A3AF1" w:rsidRPr="00473983">
        <w:rPr>
          <w:rFonts w:ascii="Calibri" w:eastAsia="Times New Roman" w:hAnsi="Calibri" w:cs="Times New Roman"/>
          <w:color w:val="000000"/>
          <w:sz w:val="20"/>
          <w:szCs w:val="20"/>
          <w:lang w:val="en-AU"/>
        </w:rPr>
        <w:t xml:space="preserve">: </w:t>
      </w:r>
    </w:p>
    <w:p w14:paraId="2819A766" w14:textId="77777777" w:rsidR="00276487" w:rsidRPr="00473983" w:rsidRDefault="00276487" w:rsidP="002B737D">
      <w:pPr>
        <w:pStyle w:val="ListParagraph"/>
        <w:numPr>
          <w:ilvl w:val="0"/>
          <w:numId w:val="17"/>
        </w:numPr>
        <w:spacing w:before="0" w:beforeAutospacing="0" w:after="0" w:afterAutospacing="0"/>
        <w:jc w:val="both"/>
        <w:rPr>
          <w:sz w:val="20"/>
          <w:szCs w:val="20"/>
          <w:lang w:val="en-AU"/>
        </w:rPr>
      </w:pPr>
      <w:r w:rsidRPr="00473983">
        <w:rPr>
          <w:rFonts w:ascii="Calibri" w:hAnsi="Calibri"/>
          <w:b/>
          <w:color w:val="000000"/>
          <w:sz w:val="20"/>
          <w:szCs w:val="20"/>
          <w:lang w:val="en-AU"/>
        </w:rPr>
        <w:t>I</w:t>
      </w:r>
      <w:r w:rsidR="00851A46" w:rsidRPr="00473983">
        <w:rPr>
          <w:rFonts w:ascii="Calibri" w:hAnsi="Calibri"/>
          <w:b/>
          <w:color w:val="000000"/>
          <w:sz w:val="20"/>
          <w:szCs w:val="20"/>
          <w:lang w:val="en-AU"/>
        </w:rPr>
        <w:t>mproving communication</w:t>
      </w:r>
      <w:r w:rsidR="0031593B" w:rsidRPr="00473983">
        <w:rPr>
          <w:rFonts w:ascii="Calibri" w:hAnsi="Calibri"/>
          <w:b/>
          <w:color w:val="000000"/>
          <w:sz w:val="20"/>
          <w:szCs w:val="20"/>
          <w:lang w:val="en-AU"/>
        </w:rPr>
        <w:t xml:space="preserve"> internally</w:t>
      </w:r>
      <w:r w:rsidR="00851A46" w:rsidRPr="00473983">
        <w:rPr>
          <w:rFonts w:ascii="Calibri" w:hAnsi="Calibri"/>
          <w:color w:val="000000"/>
          <w:sz w:val="20"/>
          <w:szCs w:val="20"/>
          <w:lang w:val="en-AU"/>
        </w:rPr>
        <w:t xml:space="preserve"> to increase awareness of the work of the iXc</w:t>
      </w:r>
      <w:r w:rsidR="006F4EFB" w:rsidRPr="00473983">
        <w:rPr>
          <w:rFonts w:ascii="Calibri" w:hAnsi="Calibri"/>
          <w:color w:val="000000"/>
          <w:sz w:val="20"/>
          <w:szCs w:val="20"/>
          <w:lang w:val="en-AU"/>
        </w:rPr>
        <w:t xml:space="preserve"> and its partners</w:t>
      </w:r>
      <w:r w:rsidR="00851A46" w:rsidRPr="00473983">
        <w:rPr>
          <w:rFonts w:ascii="Calibri" w:hAnsi="Calibri"/>
          <w:color w:val="000000"/>
          <w:sz w:val="20"/>
          <w:szCs w:val="20"/>
          <w:lang w:val="en-AU"/>
        </w:rPr>
        <w:t xml:space="preserve">, </w:t>
      </w:r>
      <w:r w:rsidR="003E2563" w:rsidRPr="00473983">
        <w:rPr>
          <w:rFonts w:ascii="Calibri" w:hAnsi="Calibri"/>
          <w:color w:val="000000"/>
          <w:sz w:val="20"/>
          <w:szCs w:val="20"/>
          <w:lang w:val="en-AU"/>
        </w:rPr>
        <w:t xml:space="preserve">how collaboration with the iXc can help change culture and mindsets, </w:t>
      </w:r>
      <w:r w:rsidR="00851A46" w:rsidRPr="00473983">
        <w:rPr>
          <w:rFonts w:ascii="Calibri" w:hAnsi="Calibri"/>
          <w:color w:val="000000"/>
          <w:sz w:val="20"/>
          <w:szCs w:val="20"/>
          <w:lang w:val="en-AU"/>
        </w:rPr>
        <w:t xml:space="preserve">its strategy and </w:t>
      </w:r>
      <w:r w:rsidR="00112172" w:rsidRPr="00473983">
        <w:rPr>
          <w:rFonts w:ascii="Calibri" w:hAnsi="Calibri"/>
          <w:color w:val="000000"/>
          <w:sz w:val="20"/>
          <w:szCs w:val="20"/>
          <w:lang w:val="en-AU"/>
        </w:rPr>
        <w:t xml:space="preserve">the impact of its </w:t>
      </w:r>
      <w:r w:rsidR="00851A46" w:rsidRPr="00473983">
        <w:rPr>
          <w:rFonts w:ascii="Calibri" w:hAnsi="Calibri"/>
          <w:color w:val="000000"/>
          <w:sz w:val="20"/>
          <w:szCs w:val="20"/>
          <w:lang w:val="en-AU"/>
        </w:rPr>
        <w:t>programming</w:t>
      </w:r>
      <w:r w:rsidR="00112172" w:rsidRPr="00473983">
        <w:rPr>
          <w:rFonts w:ascii="Calibri" w:hAnsi="Calibri"/>
          <w:color w:val="000000"/>
          <w:sz w:val="20"/>
          <w:szCs w:val="20"/>
          <w:lang w:val="en-AU"/>
        </w:rPr>
        <w:t>.</w:t>
      </w:r>
      <w:r w:rsidR="00851A46" w:rsidRPr="00473983">
        <w:rPr>
          <w:rFonts w:ascii="Calibri" w:hAnsi="Calibri"/>
          <w:color w:val="000000"/>
          <w:sz w:val="20"/>
          <w:szCs w:val="20"/>
          <w:lang w:val="en-AU"/>
        </w:rPr>
        <w:t xml:space="preserve"> This will help other departments</w:t>
      </w:r>
      <w:r w:rsidR="007C5BEC" w:rsidRPr="00473983">
        <w:rPr>
          <w:rFonts w:ascii="Calibri" w:hAnsi="Calibri"/>
          <w:color w:val="000000"/>
          <w:sz w:val="20"/>
          <w:szCs w:val="20"/>
          <w:lang w:val="en-AU"/>
        </w:rPr>
        <w:t xml:space="preserve"> </w:t>
      </w:r>
      <w:r w:rsidR="004A791E" w:rsidRPr="00473983">
        <w:rPr>
          <w:rFonts w:ascii="Calibri" w:hAnsi="Calibri"/>
          <w:color w:val="000000"/>
          <w:sz w:val="20"/>
          <w:szCs w:val="20"/>
          <w:lang w:val="en-AU"/>
        </w:rPr>
        <w:t xml:space="preserve">to </w:t>
      </w:r>
      <w:r w:rsidR="007C5BEC" w:rsidRPr="00473983">
        <w:rPr>
          <w:rFonts w:ascii="Calibri" w:hAnsi="Calibri"/>
          <w:color w:val="000000"/>
          <w:sz w:val="20"/>
          <w:szCs w:val="20"/>
          <w:lang w:val="en-AU"/>
        </w:rPr>
        <w:t>better</w:t>
      </w:r>
      <w:r w:rsidR="00851A46" w:rsidRPr="00473983">
        <w:rPr>
          <w:rFonts w:ascii="Calibri" w:hAnsi="Calibri"/>
          <w:color w:val="000000"/>
          <w:sz w:val="20"/>
          <w:szCs w:val="20"/>
          <w:lang w:val="en-AU"/>
        </w:rPr>
        <w:t xml:space="preserve"> identify how the iXc can help accomplish their objectives</w:t>
      </w:r>
      <w:r w:rsidR="00112172" w:rsidRPr="00473983">
        <w:rPr>
          <w:rFonts w:ascii="Calibri" w:hAnsi="Calibri"/>
          <w:color w:val="000000"/>
          <w:sz w:val="20"/>
          <w:szCs w:val="20"/>
          <w:lang w:val="en-AU"/>
        </w:rPr>
        <w:t xml:space="preserve"> and, by focusing on impact, is </w:t>
      </w:r>
      <w:r w:rsidR="00851A46" w:rsidRPr="00473983">
        <w:rPr>
          <w:rFonts w:ascii="Calibri" w:hAnsi="Calibri"/>
          <w:color w:val="000000"/>
          <w:sz w:val="20"/>
          <w:szCs w:val="20"/>
          <w:lang w:val="en-AU"/>
        </w:rPr>
        <w:t>likely to generate DFAT staff buy-in to partnership</w:t>
      </w:r>
      <w:r w:rsidRPr="00473983">
        <w:rPr>
          <w:rFonts w:ascii="Calibri" w:hAnsi="Calibri"/>
          <w:color w:val="000000"/>
          <w:sz w:val="20"/>
          <w:szCs w:val="20"/>
          <w:lang w:val="en-AU"/>
        </w:rPr>
        <w:t xml:space="preserve">; </w:t>
      </w:r>
    </w:p>
    <w:p w14:paraId="6353C28A" w14:textId="4612FA01" w:rsidR="00276487" w:rsidRPr="00473983" w:rsidRDefault="004B2E0E" w:rsidP="009349B6">
      <w:pPr>
        <w:pStyle w:val="ListParagraph"/>
        <w:numPr>
          <w:ilvl w:val="0"/>
          <w:numId w:val="17"/>
        </w:numPr>
        <w:spacing w:after="80"/>
        <w:jc w:val="both"/>
        <w:rPr>
          <w:sz w:val="20"/>
          <w:szCs w:val="20"/>
          <w:lang w:val="en-AU"/>
        </w:rPr>
      </w:pPr>
      <w:r w:rsidRPr="00473983">
        <w:rPr>
          <w:rFonts w:ascii="Calibri" w:hAnsi="Calibri"/>
          <w:b/>
          <w:color w:val="000000"/>
          <w:sz w:val="20"/>
          <w:szCs w:val="20"/>
          <w:lang w:val="en-AU"/>
        </w:rPr>
        <w:t>Delivering more</w:t>
      </w:r>
      <w:r w:rsidR="00851A46" w:rsidRPr="00473983">
        <w:rPr>
          <w:rFonts w:ascii="Calibri" w:hAnsi="Calibri"/>
          <w:color w:val="000000"/>
          <w:sz w:val="20"/>
          <w:szCs w:val="20"/>
          <w:lang w:val="en-AU"/>
        </w:rPr>
        <w:t xml:space="preserve"> </w:t>
      </w:r>
      <w:r w:rsidR="00851A46" w:rsidRPr="00473983">
        <w:rPr>
          <w:rFonts w:ascii="Calibri" w:hAnsi="Calibri"/>
          <w:b/>
          <w:color w:val="000000"/>
          <w:sz w:val="20"/>
          <w:szCs w:val="20"/>
          <w:lang w:val="en-AU"/>
        </w:rPr>
        <w:t>direct marketing</w:t>
      </w:r>
      <w:r w:rsidR="007D03CB" w:rsidRPr="00473983">
        <w:rPr>
          <w:rFonts w:ascii="Calibri" w:hAnsi="Calibri"/>
          <w:b/>
          <w:color w:val="000000"/>
          <w:sz w:val="20"/>
          <w:szCs w:val="20"/>
          <w:lang w:val="en-AU"/>
        </w:rPr>
        <w:t xml:space="preserve"> or pitches</w:t>
      </w:r>
      <w:r w:rsidR="00851A46" w:rsidRPr="00473983">
        <w:rPr>
          <w:rFonts w:ascii="Calibri" w:hAnsi="Calibri"/>
          <w:b/>
          <w:color w:val="000000"/>
          <w:sz w:val="20"/>
          <w:szCs w:val="20"/>
          <w:lang w:val="en-AU"/>
        </w:rPr>
        <w:t xml:space="preserve"> within DFAT</w:t>
      </w:r>
      <w:r w:rsidR="00851A46" w:rsidRPr="00473983">
        <w:rPr>
          <w:rFonts w:ascii="Calibri" w:hAnsi="Calibri"/>
          <w:color w:val="000000"/>
          <w:sz w:val="20"/>
          <w:szCs w:val="20"/>
          <w:lang w:val="en-AU"/>
        </w:rPr>
        <w:t>. Many internal partnerships were initiated by other departments reaching out to the iXc</w:t>
      </w:r>
      <w:r w:rsidR="004A0C74" w:rsidRPr="00473983">
        <w:rPr>
          <w:rFonts w:ascii="Calibri" w:hAnsi="Calibri"/>
          <w:color w:val="000000"/>
          <w:sz w:val="20"/>
          <w:szCs w:val="20"/>
          <w:lang w:val="en-AU"/>
        </w:rPr>
        <w:t>, whereas</w:t>
      </w:r>
      <w:r w:rsidR="007C5BEC" w:rsidRPr="00473983">
        <w:rPr>
          <w:rFonts w:ascii="Calibri" w:hAnsi="Calibri"/>
          <w:color w:val="000000"/>
          <w:sz w:val="20"/>
          <w:szCs w:val="20"/>
          <w:lang w:val="en-AU"/>
        </w:rPr>
        <w:t xml:space="preserve"> t</w:t>
      </w:r>
      <w:r w:rsidR="00851A46" w:rsidRPr="00473983">
        <w:rPr>
          <w:rFonts w:ascii="Calibri" w:hAnsi="Calibri"/>
          <w:color w:val="000000"/>
          <w:sz w:val="20"/>
          <w:szCs w:val="20"/>
          <w:lang w:val="en-AU"/>
        </w:rPr>
        <w:t xml:space="preserve">he team should look to capitalize on </w:t>
      </w:r>
      <w:r w:rsidR="007C5BEC" w:rsidRPr="00473983">
        <w:rPr>
          <w:rFonts w:ascii="Calibri" w:hAnsi="Calibri"/>
          <w:color w:val="000000"/>
          <w:sz w:val="20"/>
          <w:szCs w:val="20"/>
          <w:lang w:val="en-AU"/>
        </w:rPr>
        <w:t>the</w:t>
      </w:r>
      <w:r w:rsidR="00851A46" w:rsidRPr="00473983">
        <w:rPr>
          <w:rFonts w:ascii="Calibri" w:hAnsi="Calibri"/>
          <w:color w:val="000000"/>
          <w:sz w:val="20"/>
          <w:szCs w:val="20"/>
          <w:lang w:val="en-AU"/>
        </w:rPr>
        <w:t xml:space="preserve"> clear demand for </w:t>
      </w:r>
      <w:r w:rsidR="007C5BEC" w:rsidRPr="00473983">
        <w:rPr>
          <w:rFonts w:ascii="Calibri" w:hAnsi="Calibri"/>
          <w:color w:val="000000"/>
          <w:sz w:val="20"/>
          <w:szCs w:val="20"/>
          <w:lang w:val="en-AU"/>
        </w:rPr>
        <w:t xml:space="preserve">iXc </w:t>
      </w:r>
      <w:r w:rsidR="00851A46" w:rsidRPr="00473983">
        <w:rPr>
          <w:rFonts w:ascii="Calibri" w:hAnsi="Calibri"/>
          <w:color w:val="000000"/>
          <w:sz w:val="20"/>
          <w:szCs w:val="20"/>
          <w:lang w:val="en-AU"/>
        </w:rPr>
        <w:t xml:space="preserve">support and </w:t>
      </w:r>
      <w:r w:rsidR="007C5BEC" w:rsidRPr="00473983">
        <w:rPr>
          <w:rFonts w:ascii="Calibri" w:hAnsi="Calibri"/>
          <w:color w:val="000000"/>
          <w:sz w:val="20"/>
          <w:szCs w:val="20"/>
          <w:lang w:val="en-AU"/>
        </w:rPr>
        <w:t>endeavour</w:t>
      </w:r>
      <w:r w:rsidR="00851A46" w:rsidRPr="00473983">
        <w:rPr>
          <w:rFonts w:ascii="Calibri" w:hAnsi="Calibri"/>
          <w:color w:val="000000"/>
          <w:sz w:val="20"/>
          <w:szCs w:val="20"/>
          <w:lang w:val="en-AU"/>
        </w:rPr>
        <w:t xml:space="preserve"> to </w:t>
      </w:r>
      <w:r w:rsidR="007C5BEC" w:rsidRPr="00473983">
        <w:rPr>
          <w:rFonts w:ascii="Calibri" w:hAnsi="Calibri"/>
          <w:color w:val="000000"/>
          <w:sz w:val="20"/>
          <w:szCs w:val="20"/>
          <w:lang w:val="en-AU"/>
        </w:rPr>
        <w:t xml:space="preserve">align </w:t>
      </w:r>
      <w:r w:rsidR="00851A46" w:rsidRPr="00473983">
        <w:rPr>
          <w:rFonts w:ascii="Calibri" w:hAnsi="Calibri"/>
          <w:color w:val="000000"/>
          <w:sz w:val="20"/>
          <w:szCs w:val="20"/>
          <w:lang w:val="en-AU"/>
        </w:rPr>
        <w:t>their activities</w:t>
      </w:r>
      <w:r w:rsidR="007C5BEC" w:rsidRPr="00473983">
        <w:rPr>
          <w:rFonts w:ascii="Calibri" w:hAnsi="Calibri"/>
          <w:color w:val="000000"/>
          <w:sz w:val="20"/>
          <w:szCs w:val="20"/>
          <w:lang w:val="en-AU"/>
        </w:rPr>
        <w:t xml:space="preserve"> and offerings with t</w:t>
      </w:r>
      <w:r w:rsidR="00851A46" w:rsidRPr="00473983">
        <w:rPr>
          <w:rFonts w:ascii="Calibri" w:hAnsi="Calibri"/>
          <w:color w:val="000000"/>
          <w:sz w:val="20"/>
          <w:szCs w:val="20"/>
          <w:lang w:val="en-AU"/>
        </w:rPr>
        <w:t>he objectives and needs of other sections</w:t>
      </w:r>
      <w:r w:rsidR="00276487" w:rsidRPr="00473983">
        <w:rPr>
          <w:rFonts w:ascii="Calibri" w:hAnsi="Calibri"/>
          <w:color w:val="000000"/>
          <w:sz w:val="20"/>
          <w:szCs w:val="20"/>
          <w:lang w:val="en-AU"/>
        </w:rPr>
        <w:t>; and</w:t>
      </w:r>
    </w:p>
    <w:p w14:paraId="6D1982A1" w14:textId="78EA43BC" w:rsidR="00EE46B9" w:rsidRPr="00473983" w:rsidRDefault="00276487" w:rsidP="009349B6">
      <w:pPr>
        <w:pStyle w:val="ListParagraph"/>
        <w:numPr>
          <w:ilvl w:val="0"/>
          <w:numId w:val="17"/>
        </w:numPr>
        <w:spacing w:after="80"/>
        <w:jc w:val="both"/>
        <w:rPr>
          <w:rFonts w:ascii="Calibri" w:hAnsi="Calibri" w:cs="Calibri"/>
          <w:sz w:val="20"/>
          <w:szCs w:val="20"/>
          <w:lang w:val="en-AU"/>
        </w:rPr>
      </w:pPr>
      <w:r w:rsidRPr="00473983">
        <w:rPr>
          <w:rFonts w:ascii="Calibri" w:hAnsi="Calibri" w:cs="Calibri"/>
          <w:color w:val="000000"/>
          <w:sz w:val="20"/>
          <w:szCs w:val="20"/>
          <w:lang w:val="en-AU"/>
        </w:rPr>
        <w:t>C</w:t>
      </w:r>
      <w:r w:rsidR="00AC2762" w:rsidRPr="00473983">
        <w:rPr>
          <w:rFonts w:ascii="Calibri" w:hAnsi="Calibri" w:cs="Calibri"/>
          <w:color w:val="000000"/>
          <w:sz w:val="20"/>
          <w:szCs w:val="20"/>
          <w:lang w:val="en-AU"/>
        </w:rPr>
        <w:t>larifying a position on how and what work within</w:t>
      </w:r>
      <w:r w:rsidR="00851A46" w:rsidRPr="00473983">
        <w:rPr>
          <w:rFonts w:ascii="Calibri" w:hAnsi="Calibri" w:cs="Calibri"/>
          <w:sz w:val="20"/>
          <w:szCs w:val="20"/>
          <w:lang w:val="en-AU"/>
        </w:rPr>
        <w:t xml:space="preserve"> DFAT is </w:t>
      </w:r>
      <w:r w:rsidR="00473983" w:rsidRPr="00473983">
        <w:rPr>
          <w:rFonts w:ascii="Calibri" w:hAnsi="Calibri" w:cs="Calibri"/>
          <w:sz w:val="20"/>
          <w:szCs w:val="20"/>
          <w:lang w:val="en-AU"/>
        </w:rPr>
        <w:t>considered</w:t>
      </w:r>
      <w:r w:rsidR="00851A46" w:rsidRPr="00473983">
        <w:rPr>
          <w:rFonts w:ascii="Calibri" w:hAnsi="Calibri" w:cs="Calibri"/>
          <w:sz w:val="20"/>
          <w:szCs w:val="20"/>
          <w:lang w:val="en-AU"/>
        </w:rPr>
        <w:t xml:space="preserve"> </w:t>
      </w:r>
      <w:r w:rsidR="00AC2762" w:rsidRPr="00473983">
        <w:rPr>
          <w:rFonts w:ascii="Calibri" w:hAnsi="Calibri" w:cs="Calibri"/>
          <w:sz w:val="20"/>
          <w:szCs w:val="20"/>
          <w:lang w:val="en-AU"/>
        </w:rPr>
        <w:t>to be</w:t>
      </w:r>
      <w:r w:rsidR="00851A46" w:rsidRPr="00473983">
        <w:rPr>
          <w:rFonts w:ascii="Calibri" w:hAnsi="Calibri" w:cs="Calibri"/>
          <w:sz w:val="20"/>
          <w:szCs w:val="20"/>
          <w:lang w:val="en-AU"/>
        </w:rPr>
        <w:t xml:space="preserve"> ‘innovative’, </w:t>
      </w:r>
      <w:r w:rsidR="00AC2762" w:rsidRPr="00473983">
        <w:rPr>
          <w:rFonts w:ascii="Calibri" w:hAnsi="Calibri" w:cs="Calibri"/>
          <w:sz w:val="20"/>
          <w:szCs w:val="20"/>
          <w:lang w:val="en-AU"/>
        </w:rPr>
        <w:t xml:space="preserve">as well as </w:t>
      </w:r>
      <w:r w:rsidR="00AC2762" w:rsidRPr="00473983">
        <w:rPr>
          <w:rFonts w:ascii="Calibri" w:hAnsi="Calibri" w:cs="Calibri"/>
          <w:b/>
          <w:sz w:val="20"/>
          <w:szCs w:val="20"/>
          <w:lang w:val="en-AU"/>
        </w:rPr>
        <w:t xml:space="preserve">improved tracking of </w:t>
      </w:r>
      <w:r w:rsidR="00F618D8" w:rsidRPr="00473983">
        <w:rPr>
          <w:rFonts w:ascii="Calibri" w:hAnsi="Calibri" w:cs="Calibri"/>
          <w:b/>
          <w:sz w:val="20"/>
          <w:szCs w:val="20"/>
          <w:lang w:val="en-AU"/>
        </w:rPr>
        <w:t>innovative</w:t>
      </w:r>
      <w:r w:rsidR="00851A46" w:rsidRPr="00473983">
        <w:rPr>
          <w:rFonts w:ascii="Calibri" w:hAnsi="Calibri" w:cs="Calibri"/>
          <w:b/>
          <w:sz w:val="20"/>
          <w:szCs w:val="20"/>
          <w:lang w:val="en-AU"/>
        </w:rPr>
        <w:t xml:space="preserve"> initiatives</w:t>
      </w:r>
      <w:r w:rsidR="004D32F9" w:rsidRPr="00473983">
        <w:rPr>
          <w:rFonts w:ascii="Calibri" w:hAnsi="Calibri" w:cs="Calibri"/>
          <w:b/>
          <w:sz w:val="20"/>
          <w:szCs w:val="20"/>
          <w:lang w:val="en-AU"/>
        </w:rPr>
        <w:t xml:space="preserve"> happening </w:t>
      </w:r>
      <w:r w:rsidR="00F437C7" w:rsidRPr="00473983">
        <w:rPr>
          <w:rFonts w:ascii="Calibri" w:hAnsi="Calibri" w:cs="Calibri"/>
          <w:b/>
          <w:sz w:val="20"/>
          <w:szCs w:val="20"/>
          <w:lang w:val="en-AU"/>
        </w:rPr>
        <w:t>more widely across</w:t>
      </w:r>
      <w:r w:rsidR="004D32F9" w:rsidRPr="00473983">
        <w:rPr>
          <w:rFonts w:ascii="Calibri" w:hAnsi="Calibri" w:cs="Calibri"/>
          <w:b/>
          <w:sz w:val="20"/>
          <w:szCs w:val="20"/>
          <w:lang w:val="en-AU"/>
        </w:rPr>
        <w:t xml:space="preserve"> DFAT</w:t>
      </w:r>
      <w:r w:rsidRPr="00473983">
        <w:rPr>
          <w:rFonts w:ascii="Calibri" w:hAnsi="Calibri" w:cs="Calibri"/>
          <w:sz w:val="20"/>
          <w:szCs w:val="20"/>
          <w:lang w:val="en-AU"/>
        </w:rPr>
        <w:t xml:space="preserve"> – this </w:t>
      </w:r>
      <w:r w:rsidR="00F618D8" w:rsidRPr="00473983">
        <w:rPr>
          <w:rFonts w:ascii="Calibri" w:hAnsi="Calibri" w:cs="Calibri"/>
          <w:sz w:val="20"/>
          <w:szCs w:val="20"/>
          <w:lang w:val="en-AU"/>
        </w:rPr>
        <w:t>would</w:t>
      </w:r>
      <w:r w:rsidR="00AC2762" w:rsidRPr="00473983">
        <w:rPr>
          <w:rFonts w:ascii="Calibri" w:hAnsi="Calibri" w:cs="Calibri"/>
          <w:sz w:val="20"/>
          <w:szCs w:val="20"/>
          <w:lang w:val="en-AU"/>
        </w:rPr>
        <w:t xml:space="preserve"> assist </w:t>
      </w:r>
      <w:r w:rsidR="00F618D8" w:rsidRPr="00473983">
        <w:rPr>
          <w:rFonts w:ascii="Calibri" w:hAnsi="Calibri" w:cs="Calibri"/>
          <w:sz w:val="20"/>
          <w:szCs w:val="20"/>
          <w:lang w:val="en-AU"/>
        </w:rPr>
        <w:t xml:space="preserve">the iXc in </w:t>
      </w:r>
      <w:r w:rsidR="00AC2762" w:rsidRPr="00473983">
        <w:rPr>
          <w:rFonts w:ascii="Calibri" w:hAnsi="Calibri" w:cs="Calibri"/>
          <w:sz w:val="20"/>
          <w:szCs w:val="20"/>
          <w:lang w:val="en-AU"/>
        </w:rPr>
        <w:t xml:space="preserve">forging </w:t>
      </w:r>
      <w:r w:rsidR="00F618D8" w:rsidRPr="00473983">
        <w:rPr>
          <w:rFonts w:ascii="Calibri" w:hAnsi="Calibri" w:cs="Calibri"/>
          <w:sz w:val="20"/>
          <w:szCs w:val="20"/>
          <w:lang w:val="en-AU"/>
        </w:rPr>
        <w:t>stronger</w:t>
      </w:r>
      <w:r w:rsidR="00AC2762" w:rsidRPr="00473983">
        <w:rPr>
          <w:rFonts w:ascii="Calibri" w:hAnsi="Calibri" w:cs="Calibri"/>
          <w:sz w:val="20"/>
          <w:szCs w:val="20"/>
          <w:lang w:val="en-AU"/>
        </w:rPr>
        <w:t xml:space="preserve"> connections</w:t>
      </w:r>
      <w:r w:rsidR="008A2C1B" w:rsidRPr="00473983">
        <w:rPr>
          <w:rFonts w:ascii="Calibri" w:hAnsi="Calibri" w:cs="Calibri"/>
          <w:sz w:val="20"/>
          <w:szCs w:val="20"/>
          <w:lang w:val="en-AU"/>
        </w:rPr>
        <w:t xml:space="preserve"> with other sections</w:t>
      </w:r>
      <w:r w:rsidR="00AC2762" w:rsidRPr="00473983">
        <w:rPr>
          <w:rFonts w:ascii="Calibri" w:hAnsi="Calibri" w:cs="Calibri"/>
          <w:sz w:val="20"/>
          <w:szCs w:val="20"/>
          <w:lang w:val="en-AU"/>
        </w:rPr>
        <w:t xml:space="preserve"> </w:t>
      </w:r>
      <w:r w:rsidR="00F618D8" w:rsidRPr="00473983">
        <w:rPr>
          <w:rFonts w:ascii="Calibri" w:hAnsi="Calibri" w:cs="Calibri"/>
          <w:sz w:val="20"/>
          <w:szCs w:val="20"/>
          <w:lang w:val="en-AU"/>
        </w:rPr>
        <w:t>more quickly</w:t>
      </w:r>
      <w:r w:rsidR="00AC2762" w:rsidRPr="00473983">
        <w:rPr>
          <w:rFonts w:ascii="Calibri" w:hAnsi="Calibri" w:cs="Calibri"/>
          <w:sz w:val="20"/>
          <w:szCs w:val="20"/>
          <w:lang w:val="en-AU"/>
        </w:rPr>
        <w:t>.</w:t>
      </w:r>
    </w:p>
    <w:p w14:paraId="1A1EC562" w14:textId="67A06BBF" w:rsidR="00116131" w:rsidRPr="00C272B4" w:rsidRDefault="00116131" w:rsidP="001F2786">
      <w:pPr>
        <w:pStyle w:val="Heading2"/>
        <w:jc w:val="both"/>
      </w:pPr>
      <w:r w:rsidRPr="00C272B4">
        <w:t>Building culture and capability</w:t>
      </w:r>
    </w:p>
    <w:p w14:paraId="7FE386D3" w14:textId="678DF36D" w:rsidR="00BC0EF9" w:rsidRPr="00E73A81" w:rsidRDefault="00BC0EF9" w:rsidP="001F2786">
      <w:pPr>
        <w:spacing w:after="80"/>
        <w:jc w:val="both"/>
        <w:rPr>
          <w:rFonts w:ascii="Calibri" w:eastAsia="Times New Roman" w:hAnsi="Calibri" w:cs="Times New Roman"/>
          <w:color w:val="000000"/>
          <w:sz w:val="20"/>
          <w:szCs w:val="20"/>
          <w:lang w:val="en-AU"/>
        </w:rPr>
      </w:pPr>
      <w:r w:rsidRPr="00E73A81">
        <w:rPr>
          <w:rFonts w:ascii="Calibri" w:eastAsia="Times New Roman" w:hAnsi="Calibri" w:cs="Times New Roman"/>
          <w:color w:val="000000"/>
          <w:sz w:val="20"/>
          <w:szCs w:val="20"/>
          <w:lang w:val="en-AU"/>
        </w:rPr>
        <w:t xml:space="preserve">The iXc engaged in activities to support dialogue and learning </w:t>
      </w:r>
      <w:r w:rsidR="009210B4">
        <w:rPr>
          <w:rFonts w:ascii="Calibri" w:eastAsia="Times New Roman" w:hAnsi="Calibri" w:cs="Times New Roman"/>
          <w:color w:val="000000"/>
          <w:sz w:val="20"/>
          <w:szCs w:val="20"/>
          <w:lang w:val="en-AU"/>
        </w:rPr>
        <w:t>about</w:t>
      </w:r>
      <w:r w:rsidRPr="00E73A81">
        <w:rPr>
          <w:rFonts w:ascii="Calibri" w:eastAsia="Times New Roman" w:hAnsi="Calibri" w:cs="Times New Roman"/>
          <w:color w:val="000000"/>
          <w:sz w:val="20"/>
          <w:szCs w:val="20"/>
          <w:lang w:val="en-AU"/>
        </w:rPr>
        <w:t xml:space="preserve"> innovation within DFAT</w:t>
      </w:r>
      <w:r w:rsidR="00F75E8B">
        <w:rPr>
          <w:rFonts w:ascii="Calibri" w:eastAsia="Times New Roman" w:hAnsi="Calibri" w:cs="Times New Roman"/>
          <w:color w:val="000000"/>
          <w:sz w:val="20"/>
          <w:szCs w:val="20"/>
          <w:lang w:val="en-AU"/>
        </w:rPr>
        <w:t>,</w:t>
      </w:r>
      <w:r w:rsidR="00F437C7">
        <w:rPr>
          <w:rFonts w:ascii="Calibri" w:eastAsia="Times New Roman" w:hAnsi="Calibri" w:cs="Times New Roman"/>
          <w:color w:val="000000"/>
          <w:sz w:val="20"/>
          <w:szCs w:val="20"/>
          <w:lang w:val="en-AU"/>
        </w:rPr>
        <w:t xml:space="preserve"> its</w:t>
      </w:r>
      <w:r w:rsidR="00F75E8B">
        <w:rPr>
          <w:rFonts w:ascii="Calibri" w:eastAsia="Times New Roman" w:hAnsi="Calibri" w:cs="Times New Roman"/>
          <w:color w:val="000000"/>
          <w:sz w:val="20"/>
          <w:szCs w:val="20"/>
          <w:lang w:val="en-AU"/>
        </w:rPr>
        <w:t xml:space="preserve"> </w:t>
      </w:r>
      <w:r w:rsidR="00F437C7">
        <w:rPr>
          <w:rFonts w:ascii="Calibri" w:eastAsia="Times New Roman" w:hAnsi="Calibri" w:cs="Times New Roman"/>
          <w:color w:val="000000"/>
          <w:sz w:val="20"/>
          <w:szCs w:val="20"/>
          <w:lang w:val="en-AU"/>
        </w:rPr>
        <w:t xml:space="preserve">country </w:t>
      </w:r>
      <w:r w:rsidR="00F75E8B">
        <w:rPr>
          <w:rFonts w:ascii="Calibri" w:eastAsia="Times New Roman" w:hAnsi="Calibri" w:cs="Times New Roman"/>
          <w:color w:val="000000"/>
          <w:sz w:val="20"/>
          <w:szCs w:val="20"/>
          <w:lang w:val="en-AU"/>
        </w:rPr>
        <w:t>posts around the world,</w:t>
      </w:r>
      <w:r w:rsidRPr="00E73A81">
        <w:rPr>
          <w:rFonts w:ascii="Calibri" w:eastAsia="Times New Roman" w:hAnsi="Calibri" w:cs="Times New Roman"/>
          <w:color w:val="000000"/>
          <w:sz w:val="20"/>
          <w:szCs w:val="20"/>
          <w:lang w:val="en-AU"/>
        </w:rPr>
        <w:t xml:space="preserve"> and the broader </w:t>
      </w:r>
      <w:r w:rsidR="00540858">
        <w:rPr>
          <w:rFonts w:ascii="Calibri" w:eastAsia="Times New Roman" w:hAnsi="Calibri" w:cs="Times New Roman"/>
          <w:color w:val="000000"/>
          <w:sz w:val="20"/>
          <w:szCs w:val="20"/>
          <w:lang w:val="en-AU"/>
        </w:rPr>
        <w:t>APS</w:t>
      </w:r>
      <w:r w:rsidR="00C542A3">
        <w:rPr>
          <w:rFonts w:ascii="Calibri" w:eastAsia="Times New Roman" w:hAnsi="Calibri" w:cs="Times New Roman"/>
          <w:color w:val="000000"/>
          <w:sz w:val="20"/>
          <w:szCs w:val="20"/>
          <w:lang w:val="en-AU"/>
        </w:rPr>
        <w:t>. S</w:t>
      </w:r>
      <w:r w:rsidR="002044FC">
        <w:rPr>
          <w:rFonts w:ascii="Calibri" w:eastAsia="Times New Roman" w:hAnsi="Calibri" w:cs="Times New Roman"/>
          <w:color w:val="000000"/>
          <w:sz w:val="20"/>
          <w:szCs w:val="20"/>
          <w:lang w:val="en-AU"/>
        </w:rPr>
        <w:t xml:space="preserve">everal </w:t>
      </w:r>
      <w:r w:rsidRPr="00E73A81">
        <w:rPr>
          <w:rFonts w:ascii="Calibri" w:eastAsia="Times New Roman" w:hAnsi="Calibri" w:cs="Times New Roman"/>
          <w:color w:val="000000"/>
          <w:sz w:val="20"/>
          <w:szCs w:val="20"/>
          <w:lang w:val="en-AU"/>
        </w:rPr>
        <w:t>promising examples of innovation being taken up within DFAT</w:t>
      </w:r>
      <w:r w:rsidR="002044FC">
        <w:rPr>
          <w:rFonts w:ascii="Calibri" w:eastAsia="Times New Roman" w:hAnsi="Calibri" w:cs="Times New Roman"/>
          <w:color w:val="000000"/>
          <w:sz w:val="20"/>
          <w:szCs w:val="20"/>
          <w:lang w:val="en-AU"/>
        </w:rPr>
        <w:t xml:space="preserve"> emerged, including:</w:t>
      </w:r>
    </w:p>
    <w:p w14:paraId="56B83DB8" w14:textId="06EF20DF" w:rsidR="00BC0EF9" w:rsidRPr="00C874BE" w:rsidRDefault="0039642E" w:rsidP="009349B6">
      <w:pPr>
        <w:pStyle w:val="ListParagraph"/>
        <w:numPr>
          <w:ilvl w:val="0"/>
          <w:numId w:val="6"/>
        </w:numPr>
        <w:spacing w:before="0" w:beforeAutospacing="0" w:after="80" w:afterAutospacing="0"/>
        <w:jc w:val="both"/>
        <w:rPr>
          <w:rFonts w:ascii="Calibri" w:hAnsi="Calibri"/>
          <w:color w:val="000000"/>
          <w:sz w:val="20"/>
          <w:szCs w:val="20"/>
          <w:lang w:val="en-AU"/>
        </w:rPr>
      </w:pPr>
      <w:r>
        <w:rPr>
          <w:rFonts w:ascii="Calibri" w:hAnsi="Calibri"/>
          <w:color w:val="000000"/>
          <w:sz w:val="20"/>
          <w:szCs w:val="20"/>
          <w:lang w:val="en-AU"/>
        </w:rPr>
        <w:t xml:space="preserve">The </w:t>
      </w:r>
      <w:r w:rsidR="006D3FE9">
        <w:rPr>
          <w:rFonts w:ascii="Calibri" w:hAnsi="Calibri"/>
          <w:color w:val="000000"/>
          <w:sz w:val="20"/>
          <w:szCs w:val="20"/>
          <w:lang w:val="en-AU"/>
        </w:rPr>
        <w:t>development</w:t>
      </w:r>
      <w:r>
        <w:rPr>
          <w:rFonts w:ascii="Calibri" w:hAnsi="Calibri"/>
          <w:color w:val="000000"/>
          <w:sz w:val="20"/>
          <w:szCs w:val="20"/>
          <w:lang w:val="en-AU"/>
        </w:rPr>
        <w:t xml:space="preserve"> of a stead</w:t>
      </w:r>
      <w:r w:rsidR="006D3FE9">
        <w:rPr>
          <w:rFonts w:ascii="Calibri" w:hAnsi="Calibri"/>
          <w:color w:val="000000"/>
          <w:sz w:val="20"/>
          <w:szCs w:val="20"/>
          <w:lang w:val="en-AU"/>
        </w:rPr>
        <w:t xml:space="preserve">y </w:t>
      </w:r>
      <w:r>
        <w:rPr>
          <w:rFonts w:ascii="Calibri" w:hAnsi="Calibri"/>
          <w:color w:val="000000"/>
          <w:sz w:val="20"/>
          <w:szCs w:val="20"/>
          <w:lang w:val="en-AU"/>
        </w:rPr>
        <w:t>pipeline of d</w:t>
      </w:r>
      <w:r w:rsidR="00255AE3">
        <w:rPr>
          <w:rFonts w:ascii="Calibri" w:hAnsi="Calibri"/>
          <w:color w:val="000000"/>
          <w:sz w:val="20"/>
          <w:szCs w:val="20"/>
          <w:lang w:val="en-AU"/>
        </w:rPr>
        <w:t>irect</w:t>
      </w:r>
      <w:r w:rsidR="00BC0EF9" w:rsidRPr="00C874BE">
        <w:rPr>
          <w:rFonts w:ascii="Calibri" w:hAnsi="Calibri"/>
          <w:color w:val="000000"/>
          <w:sz w:val="20"/>
          <w:szCs w:val="20"/>
          <w:lang w:val="en-AU"/>
        </w:rPr>
        <w:t xml:space="preserve"> requests </w:t>
      </w:r>
      <w:r w:rsidR="00255AE3">
        <w:rPr>
          <w:rFonts w:ascii="Calibri" w:hAnsi="Calibri"/>
          <w:color w:val="000000"/>
          <w:sz w:val="20"/>
          <w:szCs w:val="20"/>
          <w:lang w:val="en-AU"/>
        </w:rPr>
        <w:t>to the iXc for innovation support, particularly t</w:t>
      </w:r>
      <w:r w:rsidR="00B60AA9">
        <w:rPr>
          <w:rFonts w:ascii="Calibri" w:hAnsi="Calibri"/>
          <w:color w:val="000000"/>
          <w:sz w:val="20"/>
          <w:szCs w:val="20"/>
          <w:lang w:val="en-AU"/>
        </w:rPr>
        <w:t>h</w:t>
      </w:r>
      <w:r w:rsidR="00255AE3">
        <w:rPr>
          <w:rFonts w:ascii="Calibri" w:hAnsi="Calibri"/>
          <w:color w:val="000000"/>
          <w:sz w:val="20"/>
          <w:szCs w:val="20"/>
          <w:lang w:val="en-AU"/>
        </w:rPr>
        <w:t xml:space="preserve">rough the </w:t>
      </w:r>
      <w:hyperlink r:id="rId64" w:history="1">
        <w:r w:rsidR="00255AE3" w:rsidRPr="00B71023">
          <w:rPr>
            <w:rStyle w:val="Hyperlink"/>
            <w:rFonts w:ascii="Calibri" w:hAnsi="Calibri"/>
            <w:sz w:val="20"/>
            <w:szCs w:val="20"/>
            <w:lang w:val="en-AU"/>
          </w:rPr>
          <w:t>Innovation Resource Facility</w:t>
        </w:r>
      </w:hyperlink>
      <w:r w:rsidR="006D3FE9">
        <w:rPr>
          <w:rFonts w:ascii="Calibri" w:hAnsi="Calibri"/>
          <w:color w:val="000000"/>
          <w:sz w:val="20"/>
          <w:szCs w:val="20"/>
          <w:lang w:val="en-AU"/>
        </w:rPr>
        <w:t>;</w:t>
      </w:r>
      <w:r>
        <w:rPr>
          <w:rFonts w:ascii="Calibri" w:hAnsi="Calibri"/>
          <w:color w:val="000000"/>
          <w:sz w:val="20"/>
          <w:szCs w:val="20"/>
          <w:lang w:val="en-AU"/>
        </w:rPr>
        <w:t xml:space="preserve"> </w:t>
      </w:r>
      <w:r w:rsidR="006D3FE9">
        <w:rPr>
          <w:rFonts w:ascii="Calibri" w:hAnsi="Calibri"/>
          <w:color w:val="000000"/>
          <w:sz w:val="20"/>
          <w:szCs w:val="20"/>
          <w:lang w:val="en-AU"/>
        </w:rPr>
        <w:t xml:space="preserve">approximately 50 requests </w:t>
      </w:r>
      <w:r w:rsidR="00622E4F">
        <w:rPr>
          <w:rFonts w:ascii="Calibri" w:hAnsi="Calibri"/>
          <w:color w:val="000000"/>
          <w:sz w:val="20"/>
          <w:szCs w:val="20"/>
          <w:lang w:val="en-AU"/>
        </w:rPr>
        <w:t>were received</w:t>
      </w:r>
      <w:r w:rsidR="00F66E92">
        <w:rPr>
          <w:rFonts w:ascii="Calibri" w:hAnsi="Calibri"/>
          <w:color w:val="000000"/>
          <w:sz w:val="20"/>
          <w:szCs w:val="20"/>
          <w:lang w:val="en-AU"/>
        </w:rPr>
        <w:t xml:space="preserve"> in 2017</w:t>
      </w:r>
      <w:r w:rsidR="00EC6858">
        <w:rPr>
          <w:rFonts w:ascii="Calibri" w:hAnsi="Calibri"/>
          <w:color w:val="000000"/>
          <w:sz w:val="20"/>
          <w:szCs w:val="20"/>
          <w:lang w:val="en-AU"/>
        </w:rPr>
        <w:t>;</w:t>
      </w:r>
      <w:r w:rsidR="00BC0EF9" w:rsidRPr="00C874BE">
        <w:rPr>
          <w:rFonts w:ascii="Calibri" w:hAnsi="Calibri"/>
          <w:color w:val="000000"/>
          <w:sz w:val="20"/>
          <w:szCs w:val="20"/>
          <w:lang w:val="en-AU"/>
        </w:rPr>
        <w:t xml:space="preserve"> </w:t>
      </w:r>
    </w:p>
    <w:p w14:paraId="7524996D" w14:textId="2818E045" w:rsidR="00BC0EF9" w:rsidRPr="00C874BE" w:rsidRDefault="00BC0EF9" w:rsidP="009349B6">
      <w:pPr>
        <w:pStyle w:val="ListParagraph"/>
        <w:numPr>
          <w:ilvl w:val="0"/>
          <w:numId w:val="6"/>
        </w:numPr>
        <w:spacing w:before="0" w:beforeAutospacing="0" w:after="80" w:afterAutospacing="0"/>
        <w:jc w:val="both"/>
        <w:rPr>
          <w:rFonts w:ascii="Calibri" w:hAnsi="Calibri"/>
          <w:color w:val="000000"/>
          <w:sz w:val="20"/>
          <w:szCs w:val="20"/>
          <w:lang w:val="en-AU"/>
        </w:rPr>
      </w:pPr>
      <w:r w:rsidRPr="00C874BE">
        <w:rPr>
          <w:rFonts w:ascii="Calibri" w:hAnsi="Calibri"/>
          <w:color w:val="000000"/>
          <w:sz w:val="20"/>
          <w:szCs w:val="20"/>
          <w:lang w:val="en-AU"/>
        </w:rPr>
        <w:t>Following the DFAT Humanitarian</w:t>
      </w:r>
      <w:r w:rsidR="0071439A">
        <w:rPr>
          <w:rFonts w:ascii="Calibri" w:hAnsi="Calibri"/>
          <w:color w:val="000000"/>
          <w:sz w:val="20"/>
          <w:szCs w:val="20"/>
          <w:lang w:val="en-AU"/>
        </w:rPr>
        <w:t>, NGOs and Partnerships Division’s</w:t>
      </w:r>
      <w:r w:rsidRPr="00C874BE">
        <w:rPr>
          <w:rFonts w:ascii="Calibri" w:hAnsi="Calibri"/>
          <w:color w:val="000000"/>
          <w:sz w:val="20"/>
          <w:szCs w:val="20"/>
          <w:lang w:val="en-AU"/>
        </w:rPr>
        <w:t xml:space="preserve"> involvement in the iXc’s </w:t>
      </w:r>
      <w:hyperlink r:id="rId65" w:history="1">
        <w:r w:rsidRPr="00FE6C89">
          <w:rPr>
            <w:rStyle w:val="Hyperlink"/>
            <w:rFonts w:ascii="Calibri" w:hAnsi="Calibri"/>
            <w:sz w:val="20"/>
            <w:szCs w:val="20"/>
            <w:lang w:val="en-AU"/>
          </w:rPr>
          <w:t>Pacific Humanitarian Challenge</w:t>
        </w:r>
      </w:hyperlink>
      <w:r w:rsidRPr="00C874BE">
        <w:rPr>
          <w:rFonts w:ascii="Calibri" w:hAnsi="Calibri"/>
          <w:color w:val="000000"/>
          <w:sz w:val="20"/>
          <w:szCs w:val="20"/>
          <w:lang w:val="en-AU"/>
        </w:rPr>
        <w:t xml:space="preserve">, the </w:t>
      </w:r>
      <w:r w:rsidR="009210B4">
        <w:rPr>
          <w:rFonts w:ascii="Calibri" w:hAnsi="Calibri"/>
          <w:color w:val="000000"/>
          <w:sz w:val="20"/>
          <w:szCs w:val="20"/>
          <w:lang w:val="en-AU"/>
        </w:rPr>
        <w:t>d</w:t>
      </w:r>
      <w:r w:rsidR="0071439A">
        <w:rPr>
          <w:rFonts w:ascii="Calibri" w:hAnsi="Calibri"/>
          <w:color w:val="000000"/>
          <w:sz w:val="20"/>
          <w:szCs w:val="20"/>
          <w:lang w:val="en-AU"/>
        </w:rPr>
        <w:t>ivision</w:t>
      </w:r>
      <w:r w:rsidR="0071439A" w:rsidRPr="00C874BE">
        <w:rPr>
          <w:rFonts w:ascii="Calibri" w:hAnsi="Calibri"/>
          <w:color w:val="000000"/>
          <w:sz w:val="20"/>
          <w:szCs w:val="20"/>
          <w:lang w:val="en-AU"/>
        </w:rPr>
        <w:t xml:space="preserve"> </w:t>
      </w:r>
      <w:r w:rsidR="00EC6858">
        <w:rPr>
          <w:rFonts w:ascii="Calibri" w:hAnsi="Calibri"/>
          <w:color w:val="000000"/>
          <w:sz w:val="20"/>
          <w:szCs w:val="20"/>
          <w:lang w:val="en-AU"/>
        </w:rPr>
        <w:t>decid</w:t>
      </w:r>
      <w:r w:rsidR="00693723">
        <w:rPr>
          <w:rFonts w:ascii="Calibri" w:hAnsi="Calibri"/>
          <w:color w:val="000000"/>
          <w:sz w:val="20"/>
          <w:szCs w:val="20"/>
          <w:lang w:val="en-AU"/>
        </w:rPr>
        <w:t>ed</w:t>
      </w:r>
      <w:r w:rsidR="00EC6858">
        <w:rPr>
          <w:rFonts w:ascii="Calibri" w:hAnsi="Calibri"/>
          <w:color w:val="000000"/>
          <w:sz w:val="20"/>
          <w:szCs w:val="20"/>
          <w:lang w:val="en-AU"/>
        </w:rPr>
        <w:t xml:space="preserve"> to </w:t>
      </w:r>
      <w:r w:rsidRPr="00C874BE">
        <w:rPr>
          <w:rFonts w:ascii="Calibri" w:hAnsi="Calibri"/>
          <w:color w:val="000000"/>
          <w:sz w:val="20"/>
          <w:szCs w:val="20"/>
          <w:lang w:val="en-AU"/>
        </w:rPr>
        <w:t xml:space="preserve">fund their own innovation work, the </w:t>
      </w:r>
      <w:hyperlink r:id="rId66" w:history="1">
        <w:r w:rsidRPr="009210B4">
          <w:rPr>
            <w:rStyle w:val="Hyperlink"/>
            <w:rFonts w:ascii="Calibri" w:hAnsi="Calibri"/>
            <w:sz w:val="20"/>
            <w:szCs w:val="20"/>
            <w:lang w:val="en-AU"/>
          </w:rPr>
          <w:t>Humanitarian Supplies Challenge</w:t>
        </w:r>
      </w:hyperlink>
      <w:r w:rsidR="00EC6858">
        <w:rPr>
          <w:rFonts w:ascii="Calibri" w:hAnsi="Calibri"/>
          <w:color w:val="000000"/>
          <w:sz w:val="20"/>
          <w:szCs w:val="20"/>
          <w:lang w:val="en-AU"/>
        </w:rPr>
        <w:t xml:space="preserve">; </w:t>
      </w:r>
    </w:p>
    <w:p w14:paraId="181EE5C8" w14:textId="6DEBACD7" w:rsidR="00BC0EF9" w:rsidRDefault="00BC0EF9" w:rsidP="009349B6">
      <w:pPr>
        <w:pStyle w:val="ListParagraph"/>
        <w:numPr>
          <w:ilvl w:val="0"/>
          <w:numId w:val="6"/>
        </w:numPr>
        <w:spacing w:before="0" w:beforeAutospacing="0" w:after="80" w:afterAutospacing="0"/>
        <w:jc w:val="both"/>
        <w:rPr>
          <w:rFonts w:ascii="Calibri" w:hAnsi="Calibri"/>
          <w:color w:val="000000"/>
          <w:sz w:val="20"/>
          <w:szCs w:val="20"/>
          <w:lang w:val="en-AU"/>
        </w:rPr>
      </w:pPr>
      <w:r w:rsidRPr="00C874BE">
        <w:rPr>
          <w:rFonts w:ascii="Calibri" w:hAnsi="Calibri"/>
          <w:color w:val="000000"/>
          <w:sz w:val="20"/>
          <w:szCs w:val="20"/>
          <w:lang w:val="en-AU"/>
        </w:rPr>
        <w:t xml:space="preserve">DFAT’s Australian Safeguards and Nuclear Office, in partnership with CSIRO’s Data61, conducted a </w:t>
      </w:r>
      <w:hyperlink r:id="rId67" w:history="1">
        <w:r w:rsidRPr="0043617C">
          <w:rPr>
            <w:rStyle w:val="Hyperlink"/>
            <w:rFonts w:ascii="Calibri" w:hAnsi="Calibri"/>
            <w:sz w:val="20"/>
            <w:szCs w:val="20"/>
            <w:lang w:val="en-AU"/>
          </w:rPr>
          <w:t>robotics challenge</w:t>
        </w:r>
      </w:hyperlink>
      <w:r w:rsidRPr="00C874BE">
        <w:rPr>
          <w:rFonts w:ascii="Calibri" w:hAnsi="Calibri"/>
          <w:color w:val="000000"/>
          <w:sz w:val="20"/>
          <w:szCs w:val="20"/>
          <w:lang w:val="en-AU"/>
        </w:rPr>
        <w:t xml:space="preserve"> to source new automated inspection robots for high-risk facilities</w:t>
      </w:r>
      <w:r w:rsidR="00EC6858">
        <w:rPr>
          <w:rFonts w:ascii="Calibri" w:hAnsi="Calibri"/>
          <w:color w:val="000000"/>
          <w:sz w:val="20"/>
          <w:szCs w:val="20"/>
          <w:lang w:val="en-AU"/>
        </w:rPr>
        <w:t>; and</w:t>
      </w:r>
    </w:p>
    <w:p w14:paraId="0235C4B0" w14:textId="4637E901" w:rsidR="001F1E4A" w:rsidRPr="009874AC" w:rsidRDefault="001F1E4A" w:rsidP="009349B6">
      <w:pPr>
        <w:pStyle w:val="ListParagraph"/>
        <w:numPr>
          <w:ilvl w:val="0"/>
          <w:numId w:val="6"/>
        </w:numPr>
        <w:spacing w:before="0" w:beforeAutospacing="0" w:after="80" w:afterAutospacing="0"/>
        <w:jc w:val="both"/>
        <w:rPr>
          <w:rFonts w:ascii="Calibri" w:hAnsi="Calibri"/>
          <w:color w:val="000000"/>
          <w:sz w:val="20"/>
          <w:szCs w:val="20"/>
          <w:lang w:val="en-AU"/>
        </w:rPr>
      </w:pPr>
      <w:r w:rsidRPr="009874AC">
        <w:rPr>
          <w:rFonts w:ascii="Calibri" w:hAnsi="Calibri"/>
          <w:color w:val="000000"/>
          <w:sz w:val="20"/>
          <w:szCs w:val="20"/>
          <w:lang w:val="en-AU"/>
        </w:rPr>
        <w:t xml:space="preserve">Engagement with Whole of Government activities on innovation, under the </w:t>
      </w:r>
      <w:r w:rsidR="00537C6C" w:rsidRPr="009874AC">
        <w:rPr>
          <w:rFonts w:ascii="Calibri" w:hAnsi="Calibri"/>
          <w:color w:val="000000"/>
          <w:sz w:val="20"/>
          <w:szCs w:val="20"/>
          <w:lang w:val="en-AU"/>
        </w:rPr>
        <w:t>a</w:t>
      </w:r>
      <w:r w:rsidRPr="009874AC">
        <w:rPr>
          <w:rFonts w:ascii="Calibri" w:hAnsi="Calibri"/>
          <w:color w:val="000000"/>
          <w:sz w:val="20"/>
          <w:szCs w:val="20"/>
          <w:lang w:val="en-AU"/>
        </w:rPr>
        <w:t xml:space="preserve">egis of the </w:t>
      </w:r>
      <w:hyperlink r:id="rId68" w:history="1">
        <w:r w:rsidRPr="00D72862">
          <w:rPr>
            <w:rStyle w:val="Hyperlink"/>
            <w:rFonts w:ascii="Calibri" w:hAnsi="Calibri"/>
            <w:sz w:val="20"/>
            <w:szCs w:val="20"/>
            <w:lang w:val="en-AU"/>
          </w:rPr>
          <w:t>National Innovation and Science Agenda</w:t>
        </w:r>
      </w:hyperlink>
      <w:r w:rsidRPr="009874AC">
        <w:rPr>
          <w:rFonts w:ascii="Calibri" w:hAnsi="Calibri"/>
          <w:color w:val="000000"/>
          <w:sz w:val="20"/>
          <w:szCs w:val="20"/>
          <w:lang w:val="en-AU"/>
        </w:rPr>
        <w:t xml:space="preserve">, and specifically engagement on the Global </w:t>
      </w:r>
      <w:r w:rsidR="00537C6C" w:rsidRPr="009874AC">
        <w:rPr>
          <w:rFonts w:ascii="Calibri" w:hAnsi="Calibri"/>
          <w:color w:val="000000"/>
          <w:sz w:val="20"/>
          <w:szCs w:val="20"/>
          <w:lang w:val="en-AU"/>
        </w:rPr>
        <w:t>I</w:t>
      </w:r>
      <w:r w:rsidRPr="009874AC">
        <w:rPr>
          <w:rFonts w:ascii="Calibri" w:hAnsi="Calibri"/>
          <w:color w:val="000000"/>
          <w:sz w:val="20"/>
          <w:szCs w:val="20"/>
          <w:lang w:val="en-AU"/>
        </w:rPr>
        <w:t xml:space="preserve">nnovation Strategy 2017. </w:t>
      </w:r>
    </w:p>
    <w:p w14:paraId="38DFAFDD" w14:textId="798DB551" w:rsidR="00B07CCD" w:rsidRPr="00A464D2" w:rsidRDefault="00B07CCD" w:rsidP="00A464D2">
      <w:pPr>
        <w:pStyle w:val="Quote"/>
        <w:rPr>
          <w:color w:val="007B88" w:themeColor="accent1" w:themeShade="BF"/>
          <w:sz w:val="20"/>
          <w:szCs w:val="20"/>
        </w:rPr>
      </w:pPr>
      <w:r w:rsidRPr="00FD7AAF">
        <w:rPr>
          <w:color w:val="007B88" w:themeColor="accent1" w:themeShade="BF"/>
          <w:sz w:val="20"/>
          <w:szCs w:val="20"/>
        </w:rPr>
        <w:t>“I think the presence of the iXc, commitment to do things differently, finding ways to do things more efficiently, and to maximize the impact that we have is worthwhile - and it is seeping across the dep</w:t>
      </w:r>
      <w:r w:rsidR="00207AB3">
        <w:rPr>
          <w:color w:val="007B88" w:themeColor="accent1" w:themeShade="BF"/>
          <w:sz w:val="20"/>
          <w:szCs w:val="20"/>
        </w:rPr>
        <w:t>artment</w:t>
      </w:r>
      <w:r w:rsidRPr="00FD7AAF">
        <w:rPr>
          <w:color w:val="007B88" w:themeColor="accent1" w:themeShade="BF"/>
          <w:sz w:val="20"/>
          <w:szCs w:val="20"/>
        </w:rPr>
        <w:t>”</w:t>
      </w:r>
      <w:r w:rsidR="00393627" w:rsidRPr="00FD7AAF">
        <w:rPr>
          <w:color w:val="007B88" w:themeColor="accent1" w:themeShade="BF"/>
          <w:sz w:val="20"/>
          <w:szCs w:val="20"/>
        </w:rPr>
        <w:t xml:space="preserve"> </w:t>
      </w:r>
      <w:r w:rsidR="00FD7AAF" w:rsidRPr="00FD7AAF">
        <w:rPr>
          <w:i w:val="0"/>
          <w:color w:val="007B88" w:themeColor="accent1" w:themeShade="BF"/>
          <w:sz w:val="20"/>
          <w:szCs w:val="20"/>
        </w:rPr>
        <w:t>–</w:t>
      </w:r>
      <w:r w:rsidR="00393627" w:rsidRPr="00FD7AAF">
        <w:rPr>
          <w:i w:val="0"/>
          <w:color w:val="007B88" w:themeColor="accent1" w:themeShade="BF"/>
          <w:sz w:val="20"/>
          <w:szCs w:val="20"/>
        </w:rPr>
        <w:t xml:space="preserve"> </w:t>
      </w:r>
      <w:r w:rsidR="00FD7AAF" w:rsidRPr="00FD7AAF">
        <w:rPr>
          <w:i w:val="0"/>
          <w:color w:val="007B88" w:themeColor="accent1" w:themeShade="BF"/>
          <w:sz w:val="20"/>
          <w:szCs w:val="20"/>
        </w:rPr>
        <w:t>Internal partner</w:t>
      </w:r>
    </w:p>
    <w:p w14:paraId="2CC72177" w14:textId="2198E0D4" w:rsidR="00F26771" w:rsidRPr="00296ACF" w:rsidRDefault="006C7587" w:rsidP="001F2786">
      <w:pPr>
        <w:spacing w:after="80"/>
        <w:jc w:val="both"/>
        <w:rPr>
          <w:rFonts w:ascii="Calibri" w:eastAsia="Times New Roman" w:hAnsi="Calibri" w:cs="Times New Roman"/>
          <w:color w:val="000000"/>
          <w:sz w:val="20"/>
          <w:szCs w:val="20"/>
          <w:lang w:val="en-AU"/>
        </w:rPr>
      </w:pPr>
      <w:r w:rsidRPr="00296ACF">
        <w:rPr>
          <w:rFonts w:ascii="Calibri" w:eastAsia="Calibri Light" w:hAnsi="Calibri" w:cs="Times New Roman"/>
          <w:color w:val="000000"/>
          <w:sz w:val="20"/>
          <w:szCs w:val="20"/>
          <w:lang w:val="en-AU"/>
        </w:rPr>
        <w:t>W</w:t>
      </w:r>
      <w:r w:rsidR="00A119B2" w:rsidRPr="00296ACF">
        <w:rPr>
          <w:rFonts w:ascii="Calibri" w:eastAsia="Calibri Light" w:hAnsi="Calibri" w:cs="Times New Roman"/>
          <w:color w:val="000000"/>
          <w:sz w:val="20"/>
          <w:szCs w:val="20"/>
          <w:lang w:val="en-AU"/>
        </w:rPr>
        <w:t xml:space="preserve">hen asked to consider the three years since the iXc had been established, </w:t>
      </w:r>
      <w:r w:rsidR="007309DC" w:rsidRPr="00296ACF">
        <w:rPr>
          <w:rFonts w:ascii="Calibri" w:eastAsia="Calibri Light" w:hAnsi="Calibri" w:cs="Times New Roman"/>
          <w:color w:val="000000"/>
          <w:sz w:val="20"/>
          <w:szCs w:val="20"/>
          <w:lang w:val="en-AU"/>
        </w:rPr>
        <w:t xml:space="preserve">DFAT staff </w:t>
      </w:r>
      <w:r w:rsidR="00F3490C">
        <w:rPr>
          <w:rFonts w:ascii="Calibri" w:eastAsia="Calibri Light" w:hAnsi="Calibri" w:cs="Times New Roman"/>
          <w:color w:val="000000"/>
          <w:sz w:val="20"/>
          <w:szCs w:val="20"/>
          <w:lang w:val="en-AU"/>
        </w:rPr>
        <w:t xml:space="preserve">that had worked with the iXc </w:t>
      </w:r>
      <w:r w:rsidR="007309DC" w:rsidRPr="00296ACF">
        <w:rPr>
          <w:rFonts w:ascii="Calibri" w:eastAsia="Calibri Light" w:hAnsi="Calibri" w:cs="Times New Roman"/>
          <w:color w:val="000000"/>
          <w:sz w:val="20"/>
          <w:szCs w:val="20"/>
          <w:lang w:val="en-AU"/>
        </w:rPr>
        <w:t xml:space="preserve">noted improvements in both the culture of DFAT around innovative practice and the capability of DFAT staff to implement innovative programming. </w:t>
      </w:r>
    </w:p>
    <w:tbl>
      <w:tblPr>
        <w:tblStyle w:val="ListTable3-Accent1"/>
        <w:tblW w:w="9265" w:type="dxa"/>
        <w:tblLayout w:type="fixed"/>
        <w:tblCellMar>
          <w:top w:w="72" w:type="dxa"/>
          <w:left w:w="72" w:type="dxa"/>
          <w:bottom w:w="72" w:type="dxa"/>
          <w:right w:w="72" w:type="dxa"/>
        </w:tblCellMar>
        <w:tblLook w:val="0420" w:firstRow="1" w:lastRow="0" w:firstColumn="0" w:lastColumn="0" w:noHBand="0" w:noVBand="1"/>
      </w:tblPr>
      <w:tblGrid>
        <w:gridCol w:w="2785"/>
        <w:gridCol w:w="1890"/>
        <w:gridCol w:w="1890"/>
        <w:gridCol w:w="2700"/>
      </w:tblGrid>
      <w:tr w:rsidR="00F26771" w:rsidRPr="00F26771" w14:paraId="7AFAB684" w14:textId="77777777" w:rsidTr="00D877CD">
        <w:trPr>
          <w:cnfStyle w:val="100000000000" w:firstRow="1" w:lastRow="0" w:firstColumn="0" w:lastColumn="0" w:oddVBand="0" w:evenVBand="0" w:oddHBand="0" w:evenHBand="0" w:firstRowFirstColumn="0" w:firstRowLastColumn="0" w:lastRowFirstColumn="0" w:lastRowLastColumn="0"/>
          <w:trHeight w:val="368"/>
        </w:trPr>
        <w:tc>
          <w:tcPr>
            <w:tcW w:w="2785" w:type="dxa"/>
            <w:vAlign w:val="center"/>
            <w:hideMark/>
          </w:tcPr>
          <w:p w14:paraId="6C0C8B62" w14:textId="77777777" w:rsidR="00F26771" w:rsidRPr="00F26771" w:rsidRDefault="00F26771" w:rsidP="001F2786">
            <w:pPr>
              <w:jc w:val="both"/>
              <w:rPr>
                <w:rFonts w:ascii="Calibri" w:eastAsia="Calibri Light" w:hAnsi="Calibri" w:cs="Times New Roman"/>
                <w:sz w:val="18"/>
                <w:szCs w:val="18"/>
                <w:lang w:val="en-GB"/>
              </w:rPr>
            </w:pPr>
          </w:p>
        </w:tc>
        <w:tc>
          <w:tcPr>
            <w:tcW w:w="1890" w:type="dxa"/>
            <w:vAlign w:val="center"/>
            <w:hideMark/>
          </w:tcPr>
          <w:p w14:paraId="59F09A26" w14:textId="77777777" w:rsidR="00F26771" w:rsidRPr="00793612" w:rsidRDefault="00F26771" w:rsidP="0025442A">
            <w:pPr>
              <w:jc w:val="center"/>
              <w:rPr>
                <w:rFonts w:ascii="Calibri" w:eastAsia="Calibri Light" w:hAnsi="Calibri" w:cs="Times New Roman"/>
                <w:b w:val="0"/>
                <w:bCs w:val="0"/>
                <w:sz w:val="18"/>
                <w:szCs w:val="18"/>
              </w:rPr>
            </w:pPr>
            <w:r w:rsidRPr="00F26771">
              <w:rPr>
                <w:rFonts w:ascii="Calibri" w:eastAsia="Calibri Light" w:hAnsi="Calibri" w:cs="Times New Roman"/>
                <w:sz w:val="18"/>
                <w:szCs w:val="18"/>
              </w:rPr>
              <w:t>Pre-iXc Rating</w:t>
            </w:r>
          </w:p>
          <w:p w14:paraId="384C13D5" w14:textId="5F7FA3A0" w:rsidR="00711D04" w:rsidRPr="00F26771" w:rsidRDefault="00711D04" w:rsidP="0025442A">
            <w:pPr>
              <w:jc w:val="center"/>
              <w:rPr>
                <w:rFonts w:ascii="Calibri" w:eastAsia="Calibri Light" w:hAnsi="Calibri" w:cs="Times New Roman"/>
                <w:b w:val="0"/>
                <w:bCs w:val="0"/>
                <w:sz w:val="18"/>
                <w:szCs w:val="18"/>
              </w:rPr>
            </w:pPr>
            <w:r w:rsidRPr="00793612">
              <w:rPr>
                <w:rFonts w:ascii="Calibri" w:eastAsia="Calibri Light" w:hAnsi="Calibri" w:cs="Times New Roman"/>
                <w:b w:val="0"/>
                <w:sz w:val="18"/>
                <w:szCs w:val="18"/>
              </w:rPr>
              <w:t>(1 = Low</w:t>
            </w:r>
            <w:r w:rsidR="00CE70A6" w:rsidRPr="00793612">
              <w:rPr>
                <w:rFonts w:ascii="Calibri" w:eastAsia="Calibri Light" w:hAnsi="Calibri" w:cs="Times New Roman"/>
                <w:b w:val="0"/>
                <w:sz w:val="18"/>
                <w:szCs w:val="18"/>
              </w:rPr>
              <w:t xml:space="preserve">, </w:t>
            </w:r>
            <w:r w:rsidRPr="00793612">
              <w:rPr>
                <w:rFonts w:ascii="Calibri" w:eastAsia="Calibri Light" w:hAnsi="Calibri" w:cs="Times New Roman"/>
                <w:b w:val="0"/>
                <w:sz w:val="18"/>
                <w:szCs w:val="18"/>
              </w:rPr>
              <w:t>5 = High)</w:t>
            </w:r>
          </w:p>
        </w:tc>
        <w:tc>
          <w:tcPr>
            <w:tcW w:w="1890" w:type="dxa"/>
            <w:vAlign w:val="center"/>
            <w:hideMark/>
          </w:tcPr>
          <w:p w14:paraId="4F30E6D4" w14:textId="77777777" w:rsidR="00F26771" w:rsidRPr="00793612" w:rsidRDefault="00F26771" w:rsidP="0025442A">
            <w:pPr>
              <w:jc w:val="center"/>
              <w:rPr>
                <w:rFonts w:ascii="Calibri" w:eastAsia="Calibri Light" w:hAnsi="Calibri" w:cs="Times New Roman"/>
                <w:b w:val="0"/>
                <w:bCs w:val="0"/>
                <w:sz w:val="18"/>
                <w:szCs w:val="18"/>
              </w:rPr>
            </w:pPr>
            <w:r w:rsidRPr="00F26771">
              <w:rPr>
                <w:rFonts w:ascii="Calibri" w:eastAsia="Calibri Light" w:hAnsi="Calibri" w:cs="Times New Roman"/>
                <w:sz w:val="18"/>
                <w:szCs w:val="18"/>
              </w:rPr>
              <w:t>2018 Rating</w:t>
            </w:r>
          </w:p>
          <w:p w14:paraId="59A19524" w14:textId="7068060C" w:rsidR="00711D04" w:rsidRPr="00F26771" w:rsidRDefault="00711D04" w:rsidP="0025442A">
            <w:pPr>
              <w:jc w:val="center"/>
              <w:rPr>
                <w:rFonts w:ascii="Calibri" w:eastAsia="Calibri Light" w:hAnsi="Calibri" w:cs="Times New Roman"/>
                <w:b w:val="0"/>
                <w:bCs w:val="0"/>
                <w:sz w:val="18"/>
                <w:szCs w:val="18"/>
              </w:rPr>
            </w:pPr>
            <w:r w:rsidRPr="00793612">
              <w:rPr>
                <w:rFonts w:ascii="Calibri" w:eastAsia="Calibri Light" w:hAnsi="Calibri" w:cs="Times New Roman"/>
                <w:b w:val="0"/>
                <w:sz w:val="18"/>
                <w:szCs w:val="18"/>
              </w:rPr>
              <w:t>(1 = Low</w:t>
            </w:r>
            <w:r w:rsidR="00CE70A6" w:rsidRPr="00793612">
              <w:rPr>
                <w:rFonts w:ascii="Calibri" w:eastAsia="Calibri Light" w:hAnsi="Calibri" w:cs="Times New Roman"/>
                <w:b w:val="0"/>
                <w:sz w:val="18"/>
                <w:szCs w:val="18"/>
              </w:rPr>
              <w:t xml:space="preserve">, </w:t>
            </w:r>
            <w:r w:rsidRPr="00793612">
              <w:rPr>
                <w:rFonts w:ascii="Calibri" w:eastAsia="Calibri Light" w:hAnsi="Calibri" w:cs="Times New Roman"/>
                <w:b w:val="0"/>
                <w:sz w:val="18"/>
                <w:szCs w:val="18"/>
              </w:rPr>
              <w:t>5 = High)</w:t>
            </w:r>
          </w:p>
        </w:tc>
        <w:tc>
          <w:tcPr>
            <w:tcW w:w="2700" w:type="dxa"/>
            <w:vAlign w:val="center"/>
            <w:hideMark/>
          </w:tcPr>
          <w:p w14:paraId="26E359DA" w14:textId="14077551" w:rsidR="00F26771" w:rsidRPr="00F26771" w:rsidRDefault="00F26771" w:rsidP="0025442A">
            <w:pPr>
              <w:jc w:val="center"/>
              <w:rPr>
                <w:rFonts w:ascii="Calibri" w:eastAsia="Calibri Light" w:hAnsi="Calibri" w:cs="Times New Roman"/>
                <w:sz w:val="18"/>
                <w:szCs w:val="18"/>
                <w:lang w:val="en-GB"/>
              </w:rPr>
            </w:pPr>
            <w:r w:rsidRPr="00793612">
              <w:rPr>
                <w:rFonts w:ascii="Calibri" w:eastAsia="Calibri Light" w:hAnsi="Calibri" w:cs="Times New Roman"/>
                <w:sz w:val="18"/>
                <w:szCs w:val="18"/>
              </w:rPr>
              <w:t>Proportion of respondents attributing change to the iXc</w:t>
            </w:r>
          </w:p>
        </w:tc>
      </w:tr>
      <w:tr w:rsidR="00711D04" w:rsidRPr="00F26771" w14:paraId="4BC2F393" w14:textId="77777777" w:rsidTr="00D877CD">
        <w:trPr>
          <w:cnfStyle w:val="000000100000" w:firstRow="0" w:lastRow="0" w:firstColumn="0" w:lastColumn="0" w:oddVBand="0" w:evenVBand="0" w:oddHBand="1" w:evenHBand="0" w:firstRowFirstColumn="0" w:firstRowLastColumn="0" w:lastRowFirstColumn="0" w:lastRowLastColumn="0"/>
          <w:trHeight w:val="253"/>
        </w:trPr>
        <w:tc>
          <w:tcPr>
            <w:tcW w:w="2785" w:type="dxa"/>
            <w:vAlign w:val="center"/>
            <w:hideMark/>
          </w:tcPr>
          <w:p w14:paraId="7F38DA3D" w14:textId="40E825F6" w:rsidR="00F26771" w:rsidRPr="00F26771" w:rsidRDefault="00F26771" w:rsidP="001F2786">
            <w:pPr>
              <w:jc w:val="both"/>
              <w:rPr>
                <w:rFonts w:ascii="Calibri" w:eastAsia="Calibri Light" w:hAnsi="Calibri" w:cs="Times New Roman"/>
                <w:b/>
                <w:sz w:val="18"/>
                <w:szCs w:val="18"/>
                <w:lang w:val="en-GB"/>
              </w:rPr>
            </w:pPr>
            <w:r w:rsidRPr="00F26771">
              <w:rPr>
                <w:rFonts w:ascii="Calibri" w:eastAsia="Calibri Light" w:hAnsi="Calibri" w:cs="Times New Roman"/>
                <w:b/>
                <w:sz w:val="18"/>
                <w:szCs w:val="18"/>
              </w:rPr>
              <w:t xml:space="preserve">Culture of </w:t>
            </w:r>
            <w:r w:rsidRPr="004A5C6D">
              <w:rPr>
                <w:rFonts w:ascii="Calibri" w:eastAsia="Calibri Light" w:hAnsi="Calibri" w:cs="Times New Roman"/>
                <w:b/>
                <w:sz w:val="18"/>
                <w:szCs w:val="18"/>
              </w:rPr>
              <w:t>i</w:t>
            </w:r>
            <w:r w:rsidRPr="00F26771">
              <w:rPr>
                <w:rFonts w:ascii="Calibri" w:eastAsia="Calibri Light" w:hAnsi="Calibri" w:cs="Times New Roman"/>
                <w:b/>
                <w:sz w:val="18"/>
                <w:szCs w:val="18"/>
              </w:rPr>
              <w:t>nnovation</w:t>
            </w:r>
          </w:p>
        </w:tc>
        <w:tc>
          <w:tcPr>
            <w:tcW w:w="1890" w:type="dxa"/>
            <w:vAlign w:val="center"/>
            <w:hideMark/>
          </w:tcPr>
          <w:p w14:paraId="431952C4" w14:textId="1F7A644D" w:rsidR="00F26771" w:rsidRPr="00F26771" w:rsidRDefault="00F26771" w:rsidP="0025442A">
            <w:pPr>
              <w:jc w:val="center"/>
              <w:rPr>
                <w:rFonts w:ascii="Calibri" w:eastAsia="Calibri Light" w:hAnsi="Calibri" w:cs="Times New Roman"/>
                <w:sz w:val="18"/>
                <w:szCs w:val="18"/>
                <w:lang w:val="en-GB"/>
              </w:rPr>
            </w:pPr>
            <w:r w:rsidRPr="00F26771">
              <w:rPr>
                <w:rFonts w:ascii="Calibri" w:eastAsia="Calibri Light" w:hAnsi="Calibri" w:cs="Times New Roman"/>
                <w:sz w:val="18"/>
                <w:szCs w:val="18"/>
              </w:rPr>
              <w:t>2.4</w:t>
            </w:r>
          </w:p>
        </w:tc>
        <w:tc>
          <w:tcPr>
            <w:tcW w:w="1890" w:type="dxa"/>
            <w:vAlign w:val="center"/>
            <w:hideMark/>
          </w:tcPr>
          <w:p w14:paraId="3D8905BD" w14:textId="0F8240A6" w:rsidR="00F26771" w:rsidRPr="00F26771" w:rsidRDefault="00F26771" w:rsidP="0025442A">
            <w:pPr>
              <w:jc w:val="center"/>
              <w:rPr>
                <w:rFonts w:ascii="Calibri" w:eastAsia="Calibri Light" w:hAnsi="Calibri" w:cs="Times New Roman"/>
                <w:sz w:val="18"/>
                <w:szCs w:val="18"/>
                <w:lang w:val="en-GB"/>
              </w:rPr>
            </w:pPr>
            <w:r w:rsidRPr="00F26771">
              <w:rPr>
                <w:rFonts w:ascii="Calibri" w:eastAsia="Calibri Light" w:hAnsi="Calibri" w:cs="Times New Roman"/>
                <w:sz w:val="18"/>
                <w:szCs w:val="18"/>
              </w:rPr>
              <w:t>3.3</w:t>
            </w:r>
          </w:p>
        </w:tc>
        <w:tc>
          <w:tcPr>
            <w:tcW w:w="2700" w:type="dxa"/>
            <w:vAlign w:val="center"/>
            <w:hideMark/>
          </w:tcPr>
          <w:p w14:paraId="4CAE0A03" w14:textId="0E29DC77" w:rsidR="00F26771" w:rsidRPr="00F26771" w:rsidRDefault="00F26771" w:rsidP="0025442A">
            <w:pPr>
              <w:jc w:val="center"/>
              <w:rPr>
                <w:rFonts w:ascii="Calibri" w:eastAsia="Calibri Light" w:hAnsi="Calibri" w:cs="Times New Roman"/>
                <w:sz w:val="18"/>
                <w:szCs w:val="18"/>
                <w:lang w:val="en-GB"/>
              </w:rPr>
            </w:pPr>
            <w:r w:rsidRPr="00F26771">
              <w:rPr>
                <w:rFonts w:ascii="Calibri" w:eastAsia="Calibri Light" w:hAnsi="Calibri" w:cs="Times New Roman"/>
                <w:sz w:val="18"/>
                <w:szCs w:val="18"/>
              </w:rPr>
              <w:t>60</w:t>
            </w:r>
            <w:r w:rsidRPr="00793612">
              <w:rPr>
                <w:rFonts w:ascii="Calibri" w:eastAsia="Calibri Light" w:hAnsi="Calibri" w:cs="Times New Roman"/>
                <w:sz w:val="18"/>
                <w:szCs w:val="18"/>
              </w:rPr>
              <w:t>%</w:t>
            </w:r>
          </w:p>
        </w:tc>
      </w:tr>
      <w:tr w:rsidR="00711D04" w:rsidRPr="00F26771" w14:paraId="04D2239E" w14:textId="77777777" w:rsidTr="00D877CD">
        <w:trPr>
          <w:trHeight w:val="243"/>
        </w:trPr>
        <w:tc>
          <w:tcPr>
            <w:tcW w:w="2785" w:type="dxa"/>
            <w:vAlign w:val="center"/>
            <w:hideMark/>
          </w:tcPr>
          <w:p w14:paraId="11072A1E" w14:textId="29E0C188" w:rsidR="00F26771" w:rsidRPr="00F26771" w:rsidRDefault="00F26771" w:rsidP="001F2786">
            <w:pPr>
              <w:jc w:val="both"/>
              <w:rPr>
                <w:rFonts w:ascii="Calibri" w:eastAsia="Calibri Light" w:hAnsi="Calibri" w:cs="Times New Roman"/>
                <w:b/>
                <w:sz w:val="18"/>
                <w:szCs w:val="18"/>
                <w:lang w:val="en-GB"/>
              </w:rPr>
            </w:pPr>
            <w:r w:rsidRPr="00F26771">
              <w:rPr>
                <w:rFonts w:ascii="Calibri" w:eastAsia="Calibri Light" w:hAnsi="Calibri" w:cs="Times New Roman"/>
                <w:b/>
                <w:sz w:val="18"/>
                <w:szCs w:val="18"/>
              </w:rPr>
              <w:t xml:space="preserve">Capability to </w:t>
            </w:r>
            <w:r w:rsidRPr="004A5C6D">
              <w:rPr>
                <w:rFonts w:ascii="Calibri" w:eastAsia="Calibri Light" w:hAnsi="Calibri" w:cs="Times New Roman"/>
                <w:b/>
                <w:sz w:val="18"/>
                <w:szCs w:val="18"/>
              </w:rPr>
              <w:t>i</w:t>
            </w:r>
            <w:r w:rsidRPr="00F26771">
              <w:rPr>
                <w:rFonts w:ascii="Calibri" w:eastAsia="Calibri Light" w:hAnsi="Calibri" w:cs="Times New Roman"/>
                <w:b/>
                <w:sz w:val="18"/>
                <w:szCs w:val="18"/>
              </w:rPr>
              <w:t>nnovate</w:t>
            </w:r>
          </w:p>
        </w:tc>
        <w:tc>
          <w:tcPr>
            <w:tcW w:w="1890" w:type="dxa"/>
            <w:vAlign w:val="center"/>
            <w:hideMark/>
          </w:tcPr>
          <w:p w14:paraId="5AE780F6" w14:textId="287F088E" w:rsidR="00F26771" w:rsidRPr="00F26771" w:rsidRDefault="00F26771" w:rsidP="0025442A">
            <w:pPr>
              <w:jc w:val="center"/>
              <w:rPr>
                <w:rFonts w:ascii="Calibri" w:eastAsia="Calibri Light" w:hAnsi="Calibri" w:cs="Times New Roman"/>
                <w:sz w:val="18"/>
                <w:szCs w:val="18"/>
                <w:lang w:val="en-GB"/>
              </w:rPr>
            </w:pPr>
            <w:r w:rsidRPr="00F26771">
              <w:rPr>
                <w:rFonts w:ascii="Calibri" w:eastAsia="Calibri Light" w:hAnsi="Calibri" w:cs="Times New Roman"/>
                <w:sz w:val="18"/>
                <w:szCs w:val="18"/>
              </w:rPr>
              <w:t>2.</w:t>
            </w:r>
            <w:r w:rsidR="00711D04" w:rsidRPr="00793612">
              <w:rPr>
                <w:rFonts w:ascii="Calibri" w:eastAsia="Calibri Light" w:hAnsi="Calibri" w:cs="Times New Roman"/>
                <w:sz w:val="18"/>
                <w:szCs w:val="18"/>
              </w:rPr>
              <w:t>5</w:t>
            </w:r>
          </w:p>
        </w:tc>
        <w:tc>
          <w:tcPr>
            <w:tcW w:w="1890" w:type="dxa"/>
            <w:vAlign w:val="center"/>
            <w:hideMark/>
          </w:tcPr>
          <w:p w14:paraId="7E4B42D1" w14:textId="69FE96D3" w:rsidR="00F26771" w:rsidRPr="00F26771" w:rsidRDefault="00F26771" w:rsidP="0025442A">
            <w:pPr>
              <w:jc w:val="center"/>
              <w:rPr>
                <w:rFonts w:ascii="Calibri" w:eastAsia="Calibri Light" w:hAnsi="Calibri" w:cs="Times New Roman"/>
                <w:sz w:val="18"/>
                <w:szCs w:val="18"/>
                <w:lang w:val="en-GB"/>
              </w:rPr>
            </w:pPr>
            <w:r w:rsidRPr="00F26771">
              <w:rPr>
                <w:rFonts w:ascii="Calibri" w:eastAsia="Calibri Light" w:hAnsi="Calibri" w:cs="Times New Roman"/>
                <w:sz w:val="18"/>
                <w:szCs w:val="18"/>
              </w:rPr>
              <w:t>3.</w:t>
            </w:r>
            <w:r w:rsidR="00711D04" w:rsidRPr="00793612">
              <w:rPr>
                <w:rFonts w:ascii="Calibri" w:eastAsia="Calibri Light" w:hAnsi="Calibri" w:cs="Times New Roman"/>
                <w:sz w:val="18"/>
                <w:szCs w:val="18"/>
              </w:rPr>
              <w:t>3</w:t>
            </w:r>
          </w:p>
        </w:tc>
        <w:tc>
          <w:tcPr>
            <w:tcW w:w="2700" w:type="dxa"/>
            <w:vAlign w:val="center"/>
            <w:hideMark/>
          </w:tcPr>
          <w:p w14:paraId="284F49E2" w14:textId="42E1594D" w:rsidR="00F26771" w:rsidRPr="00F26771" w:rsidRDefault="00F26771" w:rsidP="0025442A">
            <w:pPr>
              <w:jc w:val="center"/>
              <w:rPr>
                <w:rFonts w:ascii="Calibri" w:eastAsia="Calibri Light" w:hAnsi="Calibri" w:cs="Times New Roman"/>
                <w:sz w:val="18"/>
                <w:szCs w:val="18"/>
                <w:lang w:val="en-GB"/>
              </w:rPr>
            </w:pPr>
            <w:r w:rsidRPr="00F26771">
              <w:rPr>
                <w:rFonts w:ascii="Calibri" w:eastAsia="Calibri Light" w:hAnsi="Calibri" w:cs="Times New Roman"/>
                <w:sz w:val="18"/>
                <w:szCs w:val="18"/>
              </w:rPr>
              <w:t>44</w:t>
            </w:r>
            <w:r w:rsidR="00711D04" w:rsidRPr="00793612">
              <w:rPr>
                <w:rFonts w:ascii="Calibri" w:eastAsia="Calibri Light" w:hAnsi="Calibri" w:cs="Times New Roman"/>
                <w:sz w:val="18"/>
                <w:szCs w:val="18"/>
              </w:rPr>
              <w:t>%</w:t>
            </w:r>
          </w:p>
        </w:tc>
      </w:tr>
    </w:tbl>
    <w:p w14:paraId="53E53FA7" w14:textId="2661FE5D" w:rsidR="0025442A" w:rsidRPr="000228AD" w:rsidRDefault="00F26771" w:rsidP="000228AD">
      <w:pPr>
        <w:spacing w:after="160"/>
        <w:jc w:val="both"/>
        <w:rPr>
          <w:rFonts w:eastAsia="Times New Roman" w:cs="Times New Roman"/>
          <w:b/>
          <w:i/>
          <w:color w:val="572181" w:themeColor="accent3"/>
          <w:sz w:val="18"/>
          <w:szCs w:val="18"/>
          <w:lang w:val="en-AU"/>
        </w:rPr>
      </w:pPr>
      <w:r w:rsidRPr="008164B1">
        <w:rPr>
          <w:rFonts w:eastAsia="Times New Roman" w:cs="Times New Roman"/>
          <w:b/>
          <w:i/>
          <w:color w:val="572181" w:themeColor="accent3"/>
          <w:sz w:val="18"/>
          <w:szCs w:val="18"/>
          <w:lang w:val="en-AU"/>
        </w:rPr>
        <w:t xml:space="preserve">Figure </w:t>
      </w:r>
      <w:r w:rsidR="00AD25A8">
        <w:rPr>
          <w:rFonts w:eastAsia="Times New Roman" w:cs="Times New Roman"/>
          <w:b/>
          <w:i/>
          <w:color w:val="572181" w:themeColor="accent3"/>
          <w:sz w:val="18"/>
          <w:szCs w:val="18"/>
          <w:lang w:val="en-AU"/>
        </w:rPr>
        <w:t>3</w:t>
      </w:r>
      <w:r w:rsidRPr="008164B1">
        <w:rPr>
          <w:rFonts w:eastAsia="Times New Roman" w:cs="Times New Roman"/>
          <w:b/>
          <w:i/>
          <w:color w:val="572181" w:themeColor="accent3"/>
          <w:sz w:val="18"/>
          <w:szCs w:val="18"/>
          <w:lang w:val="en-AU"/>
        </w:rPr>
        <w:t xml:space="preserve">: </w:t>
      </w:r>
      <w:r>
        <w:rPr>
          <w:rFonts w:eastAsia="Times New Roman" w:cs="Times New Roman"/>
          <w:b/>
          <w:i/>
          <w:color w:val="572181" w:themeColor="accent3"/>
          <w:sz w:val="18"/>
          <w:szCs w:val="18"/>
          <w:lang w:val="en-AU"/>
        </w:rPr>
        <w:t>Average survey responses on culture and capability changes within DFAT</w:t>
      </w:r>
    </w:p>
    <w:p w14:paraId="6542DC34" w14:textId="0BEF3104" w:rsidR="00F75F84" w:rsidRDefault="0034773B" w:rsidP="001F2786">
      <w:pPr>
        <w:spacing w:after="80"/>
        <w:jc w:val="both"/>
        <w:rPr>
          <w:rFonts w:ascii="Calibri" w:eastAsia="Times New Roman" w:hAnsi="Calibri" w:cs="Times New Roman"/>
          <w:color w:val="000000"/>
          <w:sz w:val="20"/>
          <w:szCs w:val="20"/>
          <w:lang w:val="en-AU"/>
        </w:rPr>
      </w:pPr>
      <w:r w:rsidRPr="00296ACF">
        <w:rPr>
          <w:rFonts w:ascii="Calibri" w:eastAsia="Calibri Light" w:hAnsi="Calibri" w:cs="Times New Roman"/>
          <w:color w:val="000000"/>
          <w:sz w:val="20"/>
          <w:szCs w:val="20"/>
          <w:lang w:val="en-AU"/>
        </w:rPr>
        <w:t xml:space="preserve">While </w:t>
      </w:r>
      <w:r w:rsidR="00B60AA9">
        <w:rPr>
          <w:rFonts w:ascii="Calibri" w:eastAsia="Calibri Light" w:hAnsi="Calibri" w:cs="Times New Roman"/>
          <w:color w:val="000000"/>
          <w:sz w:val="20"/>
          <w:szCs w:val="20"/>
          <w:lang w:val="en-AU"/>
        </w:rPr>
        <w:t>the</w:t>
      </w:r>
      <w:r w:rsidRPr="00296ACF">
        <w:rPr>
          <w:rFonts w:ascii="Calibri" w:eastAsia="Calibri Light" w:hAnsi="Calibri" w:cs="Times New Roman"/>
          <w:color w:val="000000"/>
          <w:sz w:val="20"/>
          <w:szCs w:val="20"/>
          <w:lang w:val="en-AU"/>
        </w:rPr>
        <w:t xml:space="preserve"> majority </w:t>
      </w:r>
      <w:r w:rsidR="00207AB3">
        <w:rPr>
          <w:rFonts w:ascii="Calibri" w:eastAsia="Calibri Light" w:hAnsi="Calibri" w:cs="Times New Roman"/>
          <w:color w:val="000000"/>
          <w:sz w:val="20"/>
          <w:szCs w:val="20"/>
          <w:lang w:val="en-AU"/>
        </w:rPr>
        <w:t xml:space="preserve">of respondents </w:t>
      </w:r>
      <w:r w:rsidRPr="00296ACF">
        <w:rPr>
          <w:rFonts w:ascii="Calibri" w:eastAsia="Calibri Light" w:hAnsi="Calibri" w:cs="Times New Roman"/>
          <w:color w:val="000000"/>
          <w:sz w:val="20"/>
          <w:szCs w:val="20"/>
          <w:lang w:val="en-AU"/>
        </w:rPr>
        <w:t xml:space="preserve">attributed the culture change to the iXc, </w:t>
      </w:r>
      <w:r w:rsidRPr="00296ACF">
        <w:rPr>
          <w:rFonts w:ascii="Calibri" w:eastAsia="Times New Roman" w:hAnsi="Calibri" w:cs="Times New Roman"/>
          <w:color w:val="000000"/>
          <w:sz w:val="20"/>
          <w:szCs w:val="20"/>
          <w:lang w:val="en-AU"/>
        </w:rPr>
        <w:t>other respondents pointed toward attitude changes within leadership and specifically, the mandate from the Minister for Foreign Affairs.</w:t>
      </w:r>
      <w:r w:rsidR="00B07CCD" w:rsidRPr="00296ACF">
        <w:rPr>
          <w:rFonts w:ascii="Calibri" w:eastAsia="Times New Roman" w:hAnsi="Calibri" w:cs="Times New Roman"/>
          <w:color w:val="000000"/>
          <w:sz w:val="20"/>
          <w:szCs w:val="20"/>
          <w:lang w:val="en-AU"/>
        </w:rPr>
        <w:t xml:space="preserve"> </w:t>
      </w:r>
    </w:p>
    <w:p w14:paraId="758C2D5C" w14:textId="6DDB03DB" w:rsidR="007309DC" w:rsidRPr="00296ACF" w:rsidRDefault="00B07CCD" w:rsidP="001F2786">
      <w:pPr>
        <w:spacing w:after="80"/>
        <w:jc w:val="both"/>
        <w:rPr>
          <w:rFonts w:ascii="Calibri" w:eastAsia="Times New Roman" w:hAnsi="Calibri" w:cs="Times New Roman"/>
          <w:color w:val="000000"/>
          <w:sz w:val="20"/>
          <w:szCs w:val="20"/>
          <w:lang w:val="en-AU"/>
        </w:rPr>
      </w:pPr>
      <w:r w:rsidRPr="00296ACF">
        <w:rPr>
          <w:rFonts w:ascii="Calibri" w:eastAsia="Times New Roman" w:hAnsi="Calibri" w:cs="Times New Roman"/>
          <w:color w:val="000000"/>
          <w:sz w:val="20"/>
          <w:szCs w:val="20"/>
          <w:lang w:val="en-AU"/>
        </w:rPr>
        <w:t xml:space="preserve">In terms of capability, there was </w:t>
      </w:r>
      <w:r w:rsidR="006C7587" w:rsidRPr="00296ACF">
        <w:rPr>
          <w:rFonts w:ascii="Calibri" w:eastAsia="Times New Roman" w:hAnsi="Calibri" w:cs="Times New Roman"/>
          <w:color w:val="000000"/>
          <w:sz w:val="20"/>
          <w:szCs w:val="20"/>
          <w:lang w:val="en-AU"/>
        </w:rPr>
        <w:t>less evidence that the iXc had had a transformative impact across DFAT in its first three years of operation</w:t>
      </w:r>
      <w:r w:rsidR="00E93A4C" w:rsidRPr="00296ACF">
        <w:rPr>
          <w:rFonts w:ascii="Calibri" w:eastAsia="Times New Roman" w:hAnsi="Calibri" w:cs="Times New Roman"/>
          <w:color w:val="000000"/>
          <w:sz w:val="20"/>
          <w:szCs w:val="20"/>
          <w:lang w:val="en-AU"/>
        </w:rPr>
        <w:t xml:space="preserve">, with some interviewees highlighting that more could be done to support teams to understand how to apply innovative approaches </w:t>
      </w:r>
      <w:r w:rsidR="00D56981" w:rsidRPr="00296ACF">
        <w:rPr>
          <w:rFonts w:ascii="Calibri" w:eastAsia="Times New Roman" w:hAnsi="Calibri" w:cs="Times New Roman"/>
          <w:color w:val="000000"/>
          <w:sz w:val="20"/>
          <w:szCs w:val="20"/>
          <w:lang w:val="en-AU"/>
        </w:rPr>
        <w:t xml:space="preserve">in a </w:t>
      </w:r>
      <w:r w:rsidR="00E93A4C" w:rsidRPr="00296ACF">
        <w:rPr>
          <w:rFonts w:ascii="Calibri" w:eastAsia="Times New Roman" w:hAnsi="Calibri" w:cs="Times New Roman"/>
          <w:color w:val="000000"/>
          <w:sz w:val="20"/>
          <w:szCs w:val="20"/>
          <w:lang w:val="en-AU"/>
        </w:rPr>
        <w:t>policy</w:t>
      </w:r>
      <w:r w:rsidR="00D56981" w:rsidRPr="00296ACF">
        <w:rPr>
          <w:rFonts w:ascii="Calibri" w:eastAsia="Times New Roman" w:hAnsi="Calibri" w:cs="Times New Roman"/>
          <w:color w:val="000000"/>
          <w:sz w:val="20"/>
          <w:szCs w:val="20"/>
          <w:lang w:val="en-AU"/>
        </w:rPr>
        <w:t xml:space="preserve"> sphere</w:t>
      </w:r>
      <w:r w:rsidR="00E93A4C" w:rsidRPr="00296ACF">
        <w:rPr>
          <w:rFonts w:ascii="Calibri" w:eastAsia="Times New Roman" w:hAnsi="Calibri" w:cs="Times New Roman"/>
          <w:color w:val="000000"/>
          <w:sz w:val="20"/>
          <w:szCs w:val="20"/>
          <w:lang w:val="en-AU"/>
        </w:rPr>
        <w:t>, as well as improve awareness of and access to innovation funds such as the ADA.</w:t>
      </w:r>
      <w:r w:rsidR="00C70EA8" w:rsidRPr="00C70EA8">
        <w:rPr>
          <w:rFonts w:ascii="Calibri" w:eastAsia="Times New Roman" w:hAnsi="Calibri" w:cs="Times New Roman"/>
          <w:color w:val="000000"/>
          <w:sz w:val="20"/>
          <w:szCs w:val="20"/>
        </w:rPr>
        <w:t xml:space="preserve"> </w:t>
      </w:r>
    </w:p>
    <w:p w14:paraId="126B987A" w14:textId="2B4BCECB" w:rsidR="00E93A4C" w:rsidRPr="000C1BD7" w:rsidRDefault="00E93A4C" w:rsidP="000D4D78">
      <w:pPr>
        <w:pStyle w:val="Quote"/>
        <w:rPr>
          <w:i w:val="0"/>
          <w:color w:val="007B88" w:themeColor="accent1" w:themeShade="BF"/>
          <w:sz w:val="20"/>
          <w:szCs w:val="20"/>
        </w:rPr>
      </w:pPr>
      <w:r w:rsidRPr="000D4D78">
        <w:rPr>
          <w:color w:val="007B88" w:themeColor="accent1" w:themeShade="BF"/>
          <w:sz w:val="20"/>
          <w:szCs w:val="20"/>
        </w:rPr>
        <w:lastRenderedPageBreak/>
        <w:t>“Innovation still remains a buzzword within the department. It’s quite difficult within the day-to-day to apply innovation. Everyone knows we should do innovation, but what does innovation in policy look like?”</w:t>
      </w:r>
      <w:r w:rsidR="00DE377E">
        <w:rPr>
          <w:color w:val="007B88" w:themeColor="accent1" w:themeShade="BF"/>
          <w:sz w:val="20"/>
          <w:szCs w:val="20"/>
        </w:rPr>
        <w:t xml:space="preserve"> </w:t>
      </w:r>
      <w:r w:rsidR="00DE377E" w:rsidRPr="000C1BD7">
        <w:rPr>
          <w:i w:val="0"/>
          <w:color w:val="007B88" w:themeColor="accent1" w:themeShade="BF"/>
          <w:sz w:val="20"/>
          <w:szCs w:val="20"/>
        </w:rPr>
        <w:t xml:space="preserve">– </w:t>
      </w:r>
      <w:r w:rsidR="009E0D9C" w:rsidRPr="000C1BD7">
        <w:rPr>
          <w:i w:val="0"/>
          <w:color w:val="007B88" w:themeColor="accent1" w:themeShade="BF"/>
          <w:sz w:val="20"/>
          <w:szCs w:val="20"/>
        </w:rPr>
        <w:t>iXc</w:t>
      </w:r>
      <w:r w:rsidR="00DE377E" w:rsidRPr="000C1BD7">
        <w:rPr>
          <w:i w:val="0"/>
          <w:color w:val="007B88" w:themeColor="accent1" w:themeShade="BF"/>
          <w:sz w:val="20"/>
          <w:szCs w:val="20"/>
        </w:rPr>
        <w:t xml:space="preserve"> staff</w:t>
      </w:r>
    </w:p>
    <w:p w14:paraId="36EBCBD1" w14:textId="5BD9FAD4" w:rsidR="007309DC" w:rsidRPr="006111F1" w:rsidRDefault="004032E8" w:rsidP="001F2786">
      <w:pPr>
        <w:spacing w:after="80"/>
        <w:jc w:val="both"/>
        <w:rPr>
          <w:rFonts w:ascii="Calibri" w:eastAsia="Times New Roman" w:hAnsi="Calibri" w:cs="Times New Roman"/>
          <w:color w:val="000000"/>
          <w:sz w:val="20"/>
          <w:szCs w:val="20"/>
          <w:lang w:val="en-AU"/>
        </w:rPr>
      </w:pPr>
      <w:r w:rsidRPr="00296ACF">
        <w:rPr>
          <w:rFonts w:ascii="Calibri" w:eastAsia="Times New Roman" w:hAnsi="Calibri" w:cs="Times New Roman"/>
          <w:color w:val="000000"/>
          <w:sz w:val="20"/>
          <w:szCs w:val="20"/>
          <w:lang w:val="en-AU"/>
        </w:rPr>
        <w:t>Embedding behaviour</w:t>
      </w:r>
      <w:r w:rsidR="00035A74" w:rsidRPr="00296ACF">
        <w:rPr>
          <w:rFonts w:ascii="Calibri" w:eastAsia="Times New Roman" w:hAnsi="Calibri" w:cs="Times New Roman"/>
          <w:color w:val="000000"/>
          <w:sz w:val="20"/>
          <w:szCs w:val="20"/>
          <w:lang w:val="en-AU"/>
        </w:rPr>
        <w:t xml:space="preserve"> change may have been </w:t>
      </w:r>
      <w:r w:rsidR="00AE78AE" w:rsidRPr="00296ACF">
        <w:rPr>
          <w:rFonts w:ascii="Calibri" w:eastAsia="Times New Roman" w:hAnsi="Calibri" w:cs="Times New Roman"/>
          <w:color w:val="000000"/>
          <w:sz w:val="20"/>
          <w:szCs w:val="20"/>
          <w:lang w:val="en-AU"/>
        </w:rPr>
        <w:t>slowed</w:t>
      </w:r>
      <w:r w:rsidR="00035A74" w:rsidRPr="00296ACF">
        <w:rPr>
          <w:rFonts w:ascii="Calibri" w:eastAsia="Times New Roman" w:hAnsi="Calibri" w:cs="Times New Roman"/>
          <w:color w:val="000000"/>
          <w:sz w:val="20"/>
          <w:szCs w:val="20"/>
          <w:lang w:val="en-AU"/>
        </w:rPr>
        <w:t xml:space="preserve"> by other factors too. </w:t>
      </w:r>
      <w:r w:rsidR="009C01B3" w:rsidRPr="00296ACF">
        <w:rPr>
          <w:rFonts w:ascii="Calibri" w:hAnsi="Calibri"/>
          <w:color w:val="000000"/>
          <w:sz w:val="20"/>
          <w:szCs w:val="20"/>
          <w:lang w:val="en-AU"/>
        </w:rPr>
        <w:t>The iXc was designed to ‘look and feel’ different from other DFAT sections, with its own branding, housed in a</w:t>
      </w:r>
      <w:r w:rsidR="00B60AA9">
        <w:rPr>
          <w:rFonts w:ascii="Calibri" w:hAnsi="Calibri"/>
          <w:color w:val="000000"/>
          <w:sz w:val="20"/>
          <w:szCs w:val="20"/>
          <w:lang w:val="en-AU"/>
        </w:rPr>
        <w:t>n</w:t>
      </w:r>
      <w:r w:rsidR="009C01B3" w:rsidRPr="00296ACF">
        <w:rPr>
          <w:rFonts w:ascii="Calibri" w:hAnsi="Calibri"/>
          <w:color w:val="000000"/>
          <w:sz w:val="20"/>
          <w:szCs w:val="20"/>
          <w:lang w:val="en-AU"/>
        </w:rPr>
        <w:t xml:space="preserve"> open-plan office space apart from DFAT’s main building, and with explicit Ministerial endorsement. It is possible that th</w:t>
      </w:r>
      <w:r w:rsidR="000C2949" w:rsidRPr="00296ACF">
        <w:rPr>
          <w:rFonts w:ascii="Calibri" w:hAnsi="Calibri"/>
          <w:color w:val="000000"/>
          <w:sz w:val="20"/>
          <w:szCs w:val="20"/>
          <w:lang w:val="en-AU"/>
        </w:rPr>
        <w:t xml:space="preserve">ese distinctive </w:t>
      </w:r>
      <w:r w:rsidRPr="00296ACF">
        <w:rPr>
          <w:rFonts w:ascii="Calibri" w:hAnsi="Calibri"/>
          <w:color w:val="000000"/>
          <w:sz w:val="20"/>
          <w:szCs w:val="20"/>
          <w:lang w:val="en-AU"/>
        </w:rPr>
        <w:t>features</w:t>
      </w:r>
      <w:r w:rsidR="00200A94">
        <w:rPr>
          <w:rFonts w:ascii="Calibri" w:hAnsi="Calibri"/>
          <w:color w:val="000000"/>
          <w:sz w:val="20"/>
          <w:szCs w:val="20"/>
          <w:lang w:val="en-AU"/>
        </w:rPr>
        <w:t xml:space="preserve"> might</w:t>
      </w:r>
      <w:r w:rsidR="009C01B3" w:rsidRPr="00296ACF">
        <w:rPr>
          <w:rFonts w:ascii="Calibri" w:hAnsi="Calibri"/>
          <w:color w:val="000000"/>
          <w:sz w:val="20"/>
          <w:szCs w:val="20"/>
          <w:lang w:val="en-AU"/>
        </w:rPr>
        <w:t xml:space="preserve"> have </w:t>
      </w:r>
      <w:r w:rsidR="00200A94">
        <w:rPr>
          <w:rFonts w:ascii="Calibri" w:hAnsi="Calibri"/>
          <w:color w:val="000000"/>
          <w:sz w:val="20"/>
          <w:szCs w:val="20"/>
          <w:lang w:val="en-AU"/>
        </w:rPr>
        <w:t>slowed</w:t>
      </w:r>
      <w:r w:rsidR="00200A94" w:rsidRPr="00296ACF">
        <w:rPr>
          <w:rFonts w:ascii="Calibri" w:hAnsi="Calibri"/>
          <w:color w:val="000000"/>
          <w:sz w:val="20"/>
          <w:szCs w:val="20"/>
          <w:lang w:val="en-AU"/>
        </w:rPr>
        <w:t xml:space="preserve"> </w:t>
      </w:r>
      <w:r w:rsidR="00200A94">
        <w:rPr>
          <w:rFonts w:ascii="Calibri" w:hAnsi="Calibri"/>
          <w:color w:val="000000"/>
          <w:sz w:val="20"/>
          <w:szCs w:val="20"/>
          <w:lang w:val="en-AU"/>
        </w:rPr>
        <w:t>replication by other parts of DFAT established in more traditional ways</w:t>
      </w:r>
      <w:r w:rsidR="009C01B3" w:rsidRPr="00296ACF">
        <w:rPr>
          <w:rFonts w:ascii="Calibri" w:hAnsi="Calibri"/>
          <w:color w:val="000000"/>
          <w:sz w:val="20"/>
          <w:szCs w:val="20"/>
          <w:lang w:val="en-AU"/>
        </w:rPr>
        <w:t xml:space="preserve">. In addition, </w:t>
      </w:r>
      <w:r w:rsidR="009C01B3" w:rsidRPr="00296ACF">
        <w:rPr>
          <w:rFonts w:ascii="Calibri" w:eastAsia="Times New Roman" w:hAnsi="Calibri" w:cs="Times New Roman"/>
          <w:color w:val="000000"/>
          <w:sz w:val="20"/>
          <w:szCs w:val="20"/>
          <w:lang w:val="en-AU"/>
        </w:rPr>
        <w:t>m</w:t>
      </w:r>
      <w:r w:rsidR="007309DC" w:rsidRPr="00296ACF">
        <w:rPr>
          <w:rFonts w:ascii="Calibri" w:eastAsia="Times New Roman" w:hAnsi="Calibri" w:cs="Times New Roman"/>
          <w:color w:val="000000"/>
          <w:sz w:val="20"/>
          <w:szCs w:val="20"/>
          <w:lang w:val="en-AU"/>
        </w:rPr>
        <w:t xml:space="preserve">any staff </w:t>
      </w:r>
      <w:r w:rsidR="00F41A39" w:rsidRPr="00296ACF">
        <w:rPr>
          <w:rFonts w:ascii="Calibri" w:eastAsia="Times New Roman" w:hAnsi="Calibri" w:cs="Times New Roman"/>
          <w:color w:val="000000"/>
          <w:sz w:val="20"/>
          <w:szCs w:val="20"/>
          <w:lang w:val="en-AU"/>
        </w:rPr>
        <w:t>were</w:t>
      </w:r>
      <w:r w:rsidR="007309DC" w:rsidRPr="00296ACF">
        <w:rPr>
          <w:rFonts w:ascii="Calibri" w:eastAsia="Times New Roman" w:hAnsi="Calibri" w:cs="Times New Roman"/>
          <w:color w:val="000000"/>
          <w:sz w:val="20"/>
          <w:szCs w:val="20"/>
          <w:lang w:val="en-AU"/>
        </w:rPr>
        <w:t xml:space="preserve"> initially sceptical of </w:t>
      </w:r>
      <w:r w:rsidR="00035A74" w:rsidRPr="00296ACF">
        <w:rPr>
          <w:rFonts w:ascii="Calibri" w:eastAsia="Times New Roman" w:hAnsi="Calibri" w:cs="Times New Roman"/>
          <w:color w:val="000000"/>
          <w:sz w:val="20"/>
          <w:szCs w:val="20"/>
          <w:lang w:val="en-AU"/>
        </w:rPr>
        <w:t xml:space="preserve">the </w:t>
      </w:r>
      <w:r w:rsidR="007309DC" w:rsidRPr="00296ACF">
        <w:rPr>
          <w:rFonts w:ascii="Calibri" w:eastAsia="Times New Roman" w:hAnsi="Calibri" w:cs="Times New Roman"/>
          <w:color w:val="000000"/>
          <w:sz w:val="20"/>
          <w:szCs w:val="20"/>
          <w:lang w:val="en-AU"/>
        </w:rPr>
        <w:t xml:space="preserve">changes </w:t>
      </w:r>
      <w:r w:rsidR="00035A74" w:rsidRPr="00296ACF">
        <w:rPr>
          <w:rFonts w:ascii="Calibri" w:eastAsia="Times New Roman" w:hAnsi="Calibri" w:cs="Times New Roman"/>
          <w:color w:val="000000"/>
          <w:sz w:val="20"/>
          <w:szCs w:val="20"/>
          <w:lang w:val="en-AU"/>
        </w:rPr>
        <w:t>that the iXc was advocating, and while</w:t>
      </w:r>
      <w:r w:rsidR="007309DC" w:rsidRPr="00296ACF">
        <w:rPr>
          <w:rFonts w:ascii="Calibri" w:eastAsia="Times New Roman" w:hAnsi="Calibri" w:cs="Times New Roman"/>
          <w:color w:val="000000"/>
          <w:sz w:val="20"/>
          <w:szCs w:val="20"/>
          <w:lang w:val="en-AU"/>
        </w:rPr>
        <w:t xml:space="preserve"> </w:t>
      </w:r>
      <w:r w:rsidR="00035A74" w:rsidRPr="00296ACF">
        <w:rPr>
          <w:rFonts w:ascii="Calibri" w:eastAsia="Times New Roman" w:hAnsi="Calibri" w:cs="Times New Roman"/>
          <w:color w:val="000000"/>
          <w:sz w:val="20"/>
          <w:szCs w:val="20"/>
          <w:lang w:val="en-AU"/>
        </w:rPr>
        <w:t>identifying</w:t>
      </w:r>
      <w:r w:rsidR="007309DC" w:rsidRPr="00296ACF">
        <w:rPr>
          <w:rFonts w:ascii="Calibri" w:eastAsia="Times New Roman" w:hAnsi="Calibri" w:cs="Times New Roman"/>
          <w:color w:val="000000"/>
          <w:sz w:val="20"/>
          <w:szCs w:val="20"/>
          <w:lang w:val="en-AU"/>
        </w:rPr>
        <w:t xml:space="preserve"> internal champions of innovation </w:t>
      </w:r>
      <w:r w:rsidR="00035A74" w:rsidRPr="00296ACF">
        <w:rPr>
          <w:rFonts w:ascii="Calibri" w:eastAsia="Times New Roman" w:hAnsi="Calibri" w:cs="Times New Roman"/>
          <w:color w:val="000000"/>
          <w:sz w:val="20"/>
          <w:szCs w:val="20"/>
          <w:lang w:val="en-AU"/>
        </w:rPr>
        <w:t xml:space="preserve">across the department is a helpful </w:t>
      </w:r>
      <w:r w:rsidR="00035A74" w:rsidRPr="006111F1">
        <w:rPr>
          <w:rFonts w:ascii="Calibri" w:eastAsia="Times New Roman" w:hAnsi="Calibri" w:cs="Times New Roman"/>
          <w:color w:val="000000"/>
          <w:sz w:val="20"/>
          <w:szCs w:val="20"/>
          <w:lang w:val="en-AU"/>
        </w:rPr>
        <w:t>mechanism for disseminating information and encouraging change, frequent staff turnover and relocation present</w:t>
      </w:r>
      <w:r w:rsidR="00AD2213" w:rsidRPr="006111F1">
        <w:rPr>
          <w:rFonts w:ascii="Calibri" w:eastAsia="Times New Roman" w:hAnsi="Calibri" w:cs="Times New Roman"/>
          <w:color w:val="000000"/>
          <w:sz w:val="20"/>
          <w:szCs w:val="20"/>
          <w:lang w:val="en-AU"/>
        </w:rPr>
        <w:t xml:space="preserve">ed </w:t>
      </w:r>
      <w:r w:rsidR="007309DC" w:rsidRPr="006111F1">
        <w:rPr>
          <w:rFonts w:ascii="Calibri" w:eastAsia="Times New Roman" w:hAnsi="Calibri" w:cs="Times New Roman"/>
          <w:color w:val="000000"/>
          <w:sz w:val="20"/>
          <w:szCs w:val="20"/>
          <w:lang w:val="en-AU"/>
        </w:rPr>
        <w:t xml:space="preserve">challenges </w:t>
      </w:r>
      <w:r w:rsidR="00035A74" w:rsidRPr="006111F1">
        <w:rPr>
          <w:rFonts w:ascii="Calibri" w:eastAsia="Times New Roman" w:hAnsi="Calibri" w:cs="Times New Roman"/>
          <w:color w:val="000000"/>
          <w:sz w:val="20"/>
          <w:szCs w:val="20"/>
          <w:lang w:val="en-AU"/>
        </w:rPr>
        <w:t>in this regard</w:t>
      </w:r>
      <w:r w:rsidR="007309DC" w:rsidRPr="006111F1">
        <w:rPr>
          <w:rFonts w:ascii="Calibri" w:eastAsia="Times New Roman" w:hAnsi="Calibri" w:cs="Times New Roman"/>
          <w:color w:val="000000"/>
          <w:sz w:val="20"/>
          <w:szCs w:val="20"/>
          <w:lang w:val="en-AU"/>
        </w:rPr>
        <w:t>.</w:t>
      </w:r>
    </w:p>
    <w:p w14:paraId="42524E1C" w14:textId="77777777" w:rsidR="001C00B9" w:rsidRPr="006111F1" w:rsidRDefault="007C3464" w:rsidP="001F2786">
      <w:pPr>
        <w:spacing w:after="80"/>
        <w:jc w:val="both"/>
        <w:rPr>
          <w:color w:val="00A6B6" w:themeColor="accent1"/>
          <w:sz w:val="20"/>
          <w:szCs w:val="20"/>
        </w:rPr>
      </w:pPr>
      <w:r w:rsidRPr="006111F1">
        <w:rPr>
          <w:b/>
          <w:color w:val="00A6B6" w:themeColor="accent1"/>
          <w:sz w:val="20"/>
          <w:szCs w:val="20"/>
        </w:rPr>
        <w:t>Recommendations:</w:t>
      </w:r>
      <w:r w:rsidRPr="006111F1">
        <w:rPr>
          <w:color w:val="00A6B6" w:themeColor="accent1"/>
          <w:sz w:val="20"/>
          <w:szCs w:val="20"/>
        </w:rPr>
        <w:t xml:space="preserve"> </w:t>
      </w:r>
    </w:p>
    <w:p w14:paraId="437D4F72" w14:textId="65B7B1C0" w:rsidR="001C00B9" w:rsidRPr="006111F1" w:rsidRDefault="00E16F20" w:rsidP="002B737D">
      <w:pPr>
        <w:pStyle w:val="ListParagraph"/>
        <w:numPr>
          <w:ilvl w:val="0"/>
          <w:numId w:val="18"/>
        </w:numPr>
        <w:spacing w:before="0" w:beforeAutospacing="0"/>
        <w:jc w:val="both"/>
        <w:rPr>
          <w:rFonts w:ascii="Calibri" w:hAnsi="Calibri"/>
          <w:color w:val="000000"/>
          <w:sz w:val="20"/>
          <w:szCs w:val="20"/>
          <w:lang w:val="en-AU"/>
        </w:rPr>
      </w:pPr>
      <w:r w:rsidRPr="006111F1">
        <w:rPr>
          <w:rFonts w:ascii="Calibri" w:hAnsi="Calibri"/>
          <w:color w:val="000000"/>
          <w:sz w:val="20"/>
          <w:szCs w:val="20"/>
          <w:lang w:val="en-AU"/>
        </w:rPr>
        <w:t xml:space="preserve">The iXc </w:t>
      </w:r>
      <w:r w:rsidR="00B60AA9" w:rsidRPr="006111F1">
        <w:rPr>
          <w:rFonts w:ascii="Calibri" w:hAnsi="Calibri"/>
          <w:color w:val="000000"/>
          <w:sz w:val="20"/>
          <w:szCs w:val="20"/>
          <w:lang w:val="en-AU"/>
        </w:rPr>
        <w:t>would benefit from</w:t>
      </w:r>
      <w:r w:rsidRPr="006111F1">
        <w:rPr>
          <w:rFonts w:ascii="Calibri" w:hAnsi="Calibri"/>
          <w:color w:val="000000"/>
          <w:sz w:val="20"/>
          <w:szCs w:val="20"/>
          <w:lang w:val="en-AU"/>
        </w:rPr>
        <w:t xml:space="preserve"> </w:t>
      </w:r>
      <w:r w:rsidRPr="006111F1">
        <w:rPr>
          <w:rFonts w:ascii="Calibri" w:hAnsi="Calibri"/>
          <w:b/>
          <w:color w:val="000000"/>
          <w:sz w:val="20"/>
          <w:szCs w:val="20"/>
          <w:lang w:val="en-AU"/>
        </w:rPr>
        <w:t>prioritis</w:t>
      </w:r>
      <w:r w:rsidR="00B60AA9" w:rsidRPr="006111F1">
        <w:rPr>
          <w:rFonts w:ascii="Calibri" w:hAnsi="Calibri"/>
          <w:b/>
          <w:color w:val="000000"/>
          <w:sz w:val="20"/>
          <w:szCs w:val="20"/>
          <w:lang w:val="en-AU"/>
        </w:rPr>
        <w:t>ing</w:t>
      </w:r>
      <w:r w:rsidRPr="006111F1">
        <w:rPr>
          <w:rFonts w:ascii="Calibri" w:hAnsi="Calibri"/>
          <w:b/>
          <w:color w:val="000000"/>
          <w:sz w:val="20"/>
          <w:szCs w:val="20"/>
          <w:lang w:val="en-AU"/>
        </w:rPr>
        <w:t xml:space="preserve"> activities to embed innovation culture and capability</w:t>
      </w:r>
      <w:r w:rsidR="0065680D" w:rsidRPr="006111F1">
        <w:rPr>
          <w:rFonts w:ascii="Calibri" w:hAnsi="Calibri"/>
          <w:b/>
          <w:color w:val="000000"/>
          <w:sz w:val="20"/>
          <w:szCs w:val="20"/>
          <w:lang w:val="en-AU"/>
        </w:rPr>
        <w:t xml:space="preserve"> within DFAT and its posts</w:t>
      </w:r>
      <w:r w:rsidRPr="006111F1">
        <w:rPr>
          <w:rFonts w:ascii="Calibri" w:hAnsi="Calibri"/>
          <w:color w:val="000000"/>
          <w:sz w:val="20"/>
          <w:szCs w:val="20"/>
          <w:lang w:val="en-AU"/>
        </w:rPr>
        <w:t xml:space="preserve"> going forward. </w:t>
      </w:r>
      <w:r w:rsidR="000201E9" w:rsidRPr="006111F1">
        <w:rPr>
          <w:rFonts w:ascii="Calibri" w:hAnsi="Calibri"/>
          <w:color w:val="000000"/>
          <w:sz w:val="20"/>
          <w:szCs w:val="20"/>
          <w:lang w:val="en-AU"/>
        </w:rPr>
        <w:t xml:space="preserve">Considering the emphasis on building capability through programming and direct partnership with aid teams during the first phase of iXc work, opportunities remain for the iXc to adopt alternative approaches to capability building (including training courses and mentorship) and to significantly increase engagement with non-aid areas of DFAT. </w:t>
      </w:r>
      <w:r w:rsidR="00A6159B" w:rsidRPr="006111F1">
        <w:rPr>
          <w:rFonts w:ascii="Calibri" w:hAnsi="Calibri"/>
          <w:color w:val="000000"/>
          <w:sz w:val="20"/>
          <w:szCs w:val="20"/>
          <w:lang w:val="en-AU"/>
        </w:rPr>
        <w:t xml:space="preserve">This could begin with surveying DFAT staff on innovation to understand </w:t>
      </w:r>
      <w:r w:rsidR="00084BD6" w:rsidRPr="006111F1">
        <w:rPr>
          <w:rFonts w:ascii="Calibri" w:hAnsi="Calibri"/>
          <w:color w:val="000000"/>
          <w:sz w:val="20"/>
          <w:szCs w:val="20"/>
          <w:lang w:val="en-AU"/>
        </w:rPr>
        <w:t>where the</w:t>
      </w:r>
      <w:r w:rsidR="00A6159B" w:rsidRPr="006111F1">
        <w:rPr>
          <w:rFonts w:ascii="Calibri" w:hAnsi="Calibri"/>
          <w:color w:val="000000"/>
          <w:sz w:val="20"/>
          <w:szCs w:val="20"/>
          <w:lang w:val="en-AU"/>
        </w:rPr>
        <w:t xml:space="preserve"> </w:t>
      </w:r>
      <w:r w:rsidR="00084BD6" w:rsidRPr="006111F1">
        <w:rPr>
          <w:rFonts w:ascii="Calibri" w:hAnsi="Calibri"/>
          <w:color w:val="000000"/>
          <w:sz w:val="20"/>
          <w:szCs w:val="20"/>
          <w:lang w:val="en-AU"/>
        </w:rPr>
        <w:t>biggest</w:t>
      </w:r>
      <w:r w:rsidR="00A6159B" w:rsidRPr="006111F1">
        <w:rPr>
          <w:rFonts w:ascii="Calibri" w:hAnsi="Calibri"/>
          <w:color w:val="000000"/>
          <w:sz w:val="20"/>
          <w:szCs w:val="20"/>
          <w:lang w:val="en-AU"/>
        </w:rPr>
        <w:t xml:space="preserve"> </w:t>
      </w:r>
      <w:r w:rsidR="00084BD6" w:rsidRPr="006111F1">
        <w:rPr>
          <w:rFonts w:ascii="Calibri" w:hAnsi="Calibri"/>
          <w:color w:val="000000"/>
          <w:sz w:val="20"/>
          <w:szCs w:val="20"/>
          <w:lang w:val="en-AU"/>
        </w:rPr>
        <w:t>capacity, incentive and resourcing gaps</w:t>
      </w:r>
      <w:r w:rsidR="00ED3317" w:rsidRPr="006111F1">
        <w:rPr>
          <w:rFonts w:ascii="Calibri" w:hAnsi="Calibri"/>
          <w:color w:val="000000"/>
          <w:sz w:val="20"/>
          <w:szCs w:val="20"/>
          <w:lang w:val="en-AU"/>
        </w:rPr>
        <w:t>/</w:t>
      </w:r>
      <w:r w:rsidR="00084BD6" w:rsidRPr="006111F1">
        <w:rPr>
          <w:rFonts w:ascii="Calibri" w:hAnsi="Calibri"/>
          <w:color w:val="000000"/>
          <w:sz w:val="20"/>
          <w:szCs w:val="20"/>
          <w:lang w:val="en-AU"/>
        </w:rPr>
        <w:t>opportunities are, to inform the design of appropriate solutions</w:t>
      </w:r>
      <w:r w:rsidR="001C00B9" w:rsidRPr="006111F1">
        <w:rPr>
          <w:rFonts w:ascii="Calibri" w:hAnsi="Calibri"/>
          <w:color w:val="000000"/>
          <w:sz w:val="20"/>
          <w:szCs w:val="20"/>
          <w:lang w:val="en-AU"/>
        </w:rPr>
        <w:t>;</w:t>
      </w:r>
    </w:p>
    <w:p w14:paraId="384BE392" w14:textId="6484E124" w:rsidR="001C00B9" w:rsidRPr="006111F1" w:rsidRDefault="00E16F20" w:rsidP="009349B6">
      <w:pPr>
        <w:pStyle w:val="ListParagraph"/>
        <w:numPr>
          <w:ilvl w:val="0"/>
          <w:numId w:val="18"/>
        </w:numPr>
        <w:spacing w:after="80"/>
        <w:jc w:val="both"/>
        <w:rPr>
          <w:rFonts w:ascii="Calibri" w:hAnsi="Calibri"/>
          <w:color w:val="000000"/>
          <w:sz w:val="20"/>
          <w:szCs w:val="20"/>
          <w:lang w:val="en-AU"/>
        </w:rPr>
      </w:pPr>
      <w:r w:rsidRPr="006111F1">
        <w:rPr>
          <w:rFonts w:ascii="Calibri" w:hAnsi="Calibri"/>
          <w:color w:val="000000"/>
          <w:sz w:val="20"/>
          <w:szCs w:val="20"/>
          <w:lang w:val="en-AU"/>
        </w:rPr>
        <w:t>There is clear appetite across DFAT for advice</w:t>
      </w:r>
      <w:r w:rsidR="006B6BB0" w:rsidRPr="006111F1">
        <w:rPr>
          <w:rFonts w:ascii="Calibri" w:hAnsi="Calibri"/>
          <w:color w:val="000000"/>
          <w:sz w:val="20"/>
          <w:szCs w:val="20"/>
          <w:lang w:val="en-AU"/>
        </w:rPr>
        <w:t xml:space="preserve"> and capability building</w:t>
      </w:r>
      <w:r w:rsidRPr="006111F1">
        <w:rPr>
          <w:rFonts w:ascii="Calibri" w:hAnsi="Calibri"/>
          <w:color w:val="000000"/>
          <w:sz w:val="20"/>
          <w:szCs w:val="20"/>
          <w:lang w:val="en-AU"/>
        </w:rPr>
        <w:t xml:space="preserve"> on innovation tools and skillsets</w:t>
      </w:r>
      <w:r w:rsidR="004E3903" w:rsidRPr="006111F1">
        <w:rPr>
          <w:rFonts w:ascii="Calibri" w:hAnsi="Calibri"/>
          <w:color w:val="000000"/>
          <w:sz w:val="20"/>
          <w:szCs w:val="20"/>
          <w:lang w:val="en-AU"/>
        </w:rPr>
        <w:t>, so i</w:t>
      </w:r>
      <w:r w:rsidRPr="006111F1">
        <w:rPr>
          <w:rFonts w:ascii="Calibri" w:hAnsi="Calibri"/>
          <w:color w:val="000000"/>
          <w:sz w:val="20"/>
          <w:szCs w:val="20"/>
          <w:lang w:val="en-AU"/>
        </w:rPr>
        <w:t xml:space="preserve">t is important that the iXc responds to this need while continuing to grow demand through </w:t>
      </w:r>
      <w:r w:rsidRPr="006111F1">
        <w:rPr>
          <w:rFonts w:ascii="Calibri" w:hAnsi="Calibri"/>
          <w:b/>
          <w:color w:val="000000"/>
          <w:sz w:val="20"/>
          <w:szCs w:val="20"/>
          <w:lang w:val="en-AU"/>
        </w:rPr>
        <w:t>improved communication of succes</w:t>
      </w:r>
      <w:r w:rsidR="004B7859" w:rsidRPr="006111F1">
        <w:rPr>
          <w:rFonts w:ascii="Calibri" w:hAnsi="Calibri"/>
          <w:b/>
          <w:color w:val="000000"/>
          <w:sz w:val="20"/>
          <w:szCs w:val="20"/>
          <w:lang w:val="en-AU"/>
        </w:rPr>
        <w:t>ses and learning</w:t>
      </w:r>
      <w:r w:rsidR="001C00B9" w:rsidRPr="006111F1">
        <w:rPr>
          <w:rFonts w:ascii="Calibri" w:hAnsi="Calibri"/>
          <w:color w:val="000000"/>
          <w:sz w:val="20"/>
          <w:szCs w:val="20"/>
          <w:lang w:val="en-AU"/>
        </w:rPr>
        <w:t>; and</w:t>
      </w:r>
    </w:p>
    <w:p w14:paraId="06F20EE7" w14:textId="08631DD0" w:rsidR="004032E8" w:rsidRPr="006111F1" w:rsidRDefault="00775803" w:rsidP="009349B6">
      <w:pPr>
        <w:pStyle w:val="ListParagraph"/>
        <w:numPr>
          <w:ilvl w:val="0"/>
          <w:numId w:val="18"/>
        </w:numPr>
        <w:spacing w:after="80"/>
        <w:jc w:val="both"/>
        <w:rPr>
          <w:rFonts w:ascii="Calibri" w:hAnsi="Calibri"/>
          <w:color w:val="000000"/>
          <w:sz w:val="20"/>
          <w:szCs w:val="20"/>
          <w:lang w:val="en-AU"/>
        </w:rPr>
      </w:pPr>
      <w:r w:rsidRPr="006111F1">
        <w:rPr>
          <w:rFonts w:ascii="Calibri" w:hAnsi="Calibri"/>
          <w:b/>
          <w:color w:val="000000"/>
          <w:sz w:val="20"/>
          <w:szCs w:val="20"/>
          <w:lang w:val="en-AU"/>
        </w:rPr>
        <w:t>Innovation</w:t>
      </w:r>
      <w:r w:rsidR="000E0230" w:rsidRPr="006111F1">
        <w:rPr>
          <w:rFonts w:ascii="Calibri" w:hAnsi="Calibri"/>
          <w:b/>
          <w:color w:val="000000"/>
          <w:sz w:val="20"/>
          <w:szCs w:val="20"/>
          <w:lang w:val="en-AU"/>
        </w:rPr>
        <w:t xml:space="preserve"> </w:t>
      </w:r>
      <w:r w:rsidRPr="006111F1">
        <w:rPr>
          <w:rFonts w:ascii="Calibri" w:hAnsi="Calibri"/>
          <w:b/>
          <w:color w:val="000000"/>
          <w:sz w:val="20"/>
          <w:szCs w:val="20"/>
          <w:lang w:val="en-AU"/>
        </w:rPr>
        <w:t>should be built</w:t>
      </w:r>
      <w:r w:rsidR="00877197" w:rsidRPr="006111F1">
        <w:rPr>
          <w:rFonts w:ascii="Calibri" w:hAnsi="Calibri"/>
          <w:b/>
          <w:color w:val="000000"/>
          <w:sz w:val="20"/>
          <w:szCs w:val="20"/>
          <w:lang w:val="en-AU"/>
        </w:rPr>
        <w:t xml:space="preserve"> into </w:t>
      </w:r>
      <w:r w:rsidR="00391E15" w:rsidRPr="006111F1">
        <w:rPr>
          <w:rFonts w:ascii="Calibri" w:hAnsi="Calibri"/>
          <w:b/>
          <w:color w:val="000000"/>
          <w:sz w:val="20"/>
          <w:szCs w:val="20"/>
          <w:lang w:val="en-AU"/>
        </w:rPr>
        <w:t xml:space="preserve">core </w:t>
      </w:r>
      <w:r w:rsidR="00877197" w:rsidRPr="006111F1">
        <w:rPr>
          <w:rFonts w:ascii="Calibri" w:hAnsi="Calibri"/>
          <w:b/>
          <w:color w:val="000000"/>
          <w:sz w:val="20"/>
          <w:szCs w:val="20"/>
          <w:lang w:val="en-AU"/>
        </w:rPr>
        <w:t>operational processes</w:t>
      </w:r>
      <w:r w:rsidR="00391E15" w:rsidRPr="006111F1">
        <w:rPr>
          <w:rFonts w:ascii="Calibri" w:hAnsi="Calibri"/>
          <w:color w:val="000000"/>
          <w:sz w:val="20"/>
          <w:szCs w:val="20"/>
          <w:lang w:val="en-AU"/>
        </w:rPr>
        <w:t>, such as aid development tests, quality assurance tools and reporting</w:t>
      </w:r>
      <w:r w:rsidRPr="006111F1">
        <w:rPr>
          <w:rFonts w:ascii="Calibri" w:hAnsi="Calibri"/>
          <w:color w:val="000000"/>
          <w:sz w:val="20"/>
          <w:szCs w:val="20"/>
          <w:lang w:val="en-AU"/>
        </w:rPr>
        <w:t>. This would</w:t>
      </w:r>
      <w:r w:rsidR="007767B9" w:rsidRPr="006111F1">
        <w:rPr>
          <w:rFonts w:ascii="Calibri" w:hAnsi="Calibri"/>
          <w:color w:val="000000"/>
          <w:sz w:val="20"/>
          <w:szCs w:val="20"/>
          <w:lang w:val="en-AU"/>
        </w:rPr>
        <w:t xml:space="preserve"> help to</w:t>
      </w:r>
      <w:r w:rsidR="00141E3D" w:rsidRPr="006111F1">
        <w:rPr>
          <w:rFonts w:ascii="Calibri" w:hAnsi="Calibri"/>
          <w:color w:val="000000"/>
          <w:sz w:val="20"/>
          <w:szCs w:val="20"/>
          <w:lang w:val="en-AU"/>
        </w:rPr>
        <w:t xml:space="preserve"> emphasi</w:t>
      </w:r>
      <w:r w:rsidR="0085137C" w:rsidRPr="006111F1">
        <w:rPr>
          <w:rFonts w:ascii="Calibri" w:hAnsi="Calibri"/>
          <w:color w:val="000000"/>
          <w:sz w:val="20"/>
          <w:szCs w:val="20"/>
          <w:lang w:val="en-AU"/>
        </w:rPr>
        <w:t>z</w:t>
      </w:r>
      <w:r w:rsidR="00141E3D" w:rsidRPr="006111F1">
        <w:rPr>
          <w:rFonts w:ascii="Calibri" w:hAnsi="Calibri"/>
          <w:color w:val="000000"/>
          <w:sz w:val="20"/>
          <w:szCs w:val="20"/>
          <w:lang w:val="en-AU"/>
        </w:rPr>
        <w:t xml:space="preserve">e innovation as a core funding and evaluation criteria and could then also be used </w:t>
      </w:r>
      <w:r w:rsidR="000E0230" w:rsidRPr="006111F1">
        <w:rPr>
          <w:rFonts w:ascii="Calibri" w:hAnsi="Calibri"/>
          <w:color w:val="000000"/>
          <w:sz w:val="20"/>
          <w:szCs w:val="20"/>
          <w:lang w:val="en-AU"/>
        </w:rPr>
        <w:t xml:space="preserve">by the iXc </w:t>
      </w:r>
      <w:r w:rsidR="009243AE" w:rsidRPr="006111F1">
        <w:rPr>
          <w:rFonts w:ascii="Calibri" w:hAnsi="Calibri"/>
          <w:color w:val="000000"/>
          <w:sz w:val="20"/>
          <w:szCs w:val="20"/>
          <w:lang w:val="en-AU"/>
        </w:rPr>
        <w:t>to</w:t>
      </w:r>
      <w:r w:rsidR="00141E3D" w:rsidRPr="006111F1">
        <w:rPr>
          <w:rFonts w:ascii="Calibri" w:hAnsi="Calibri"/>
          <w:color w:val="000000"/>
          <w:sz w:val="20"/>
          <w:szCs w:val="20"/>
          <w:lang w:val="en-AU"/>
        </w:rPr>
        <w:t xml:space="preserve"> identify and direct support towards those areas which require greater support to embed innovation into their activities. </w:t>
      </w:r>
    </w:p>
    <w:p w14:paraId="28DACB27" w14:textId="0A578818" w:rsidR="00D36619" w:rsidRPr="00C272B4" w:rsidRDefault="00B60AA9" w:rsidP="001F2786">
      <w:pPr>
        <w:pStyle w:val="Heading2"/>
        <w:jc w:val="both"/>
      </w:pPr>
      <w:r>
        <w:t>Support</w:t>
      </w:r>
      <w:r w:rsidR="00D36619">
        <w:t xml:space="preserve">ing innovation at </w:t>
      </w:r>
      <w:r>
        <w:t xml:space="preserve">country </w:t>
      </w:r>
      <w:r w:rsidR="00D36619">
        <w:t>post</w:t>
      </w:r>
      <w:r>
        <w:t>s</w:t>
      </w:r>
      <w:r w:rsidR="00EB34F4">
        <w:t xml:space="preserve"> </w:t>
      </w:r>
      <w:r w:rsidR="00FD16A3">
        <w:t xml:space="preserve"> </w:t>
      </w:r>
    </w:p>
    <w:p w14:paraId="4377754B" w14:textId="5FE34B78" w:rsidR="00D67DDC" w:rsidRPr="002C5C19" w:rsidRDefault="00EF2C68" w:rsidP="00D67DDC">
      <w:pPr>
        <w:spacing w:after="80"/>
        <w:jc w:val="both"/>
        <w:rPr>
          <w:rFonts w:ascii="Calibri" w:eastAsia="Calibri" w:hAnsi="Calibri" w:cs="Times New Roman"/>
          <w:color w:val="000000"/>
          <w:sz w:val="20"/>
          <w:szCs w:val="20"/>
          <w:lang w:val="en-AU"/>
        </w:rPr>
      </w:pPr>
      <w:r>
        <w:rPr>
          <w:rFonts w:ascii="Calibri" w:eastAsia="Calibri" w:hAnsi="Calibri" w:cs="Times New Roman"/>
          <w:color w:val="000000"/>
          <w:sz w:val="20"/>
          <w:szCs w:val="20"/>
          <w:lang w:val="en-AU"/>
        </w:rPr>
        <w:t xml:space="preserve">A key indicator of success against the iXc’s goal of building innovation capacity throughout DFAT is the uptake, experimentation and implementation of innovation programs within country posts. </w:t>
      </w:r>
      <w:r w:rsidR="00D67DDC" w:rsidRPr="002C5C19">
        <w:rPr>
          <w:rFonts w:ascii="Calibri" w:eastAsia="Calibri" w:hAnsi="Calibri" w:cs="Times New Roman"/>
          <w:color w:val="000000"/>
          <w:sz w:val="20"/>
          <w:szCs w:val="20"/>
          <w:lang w:val="en-AU"/>
        </w:rPr>
        <w:t>By mid-2018, 13 countries</w:t>
      </w:r>
      <w:r w:rsidR="007C28B9">
        <w:rPr>
          <w:rStyle w:val="FootnoteReference"/>
          <w:rFonts w:ascii="Calibri" w:eastAsia="Calibri" w:hAnsi="Calibri" w:cs="Times New Roman"/>
          <w:color w:val="000000"/>
          <w:sz w:val="20"/>
          <w:szCs w:val="20"/>
          <w:lang w:val="en-AU"/>
        </w:rPr>
        <w:footnoteReference w:id="16"/>
      </w:r>
      <w:r w:rsidR="00D67DDC" w:rsidRPr="002C5C19">
        <w:rPr>
          <w:rFonts w:ascii="Calibri" w:eastAsia="Calibri" w:hAnsi="Calibri" w:cs="Times New Roman"/>
          <w:color w:val="000000"/>
          <w:sz w:val="20"/>
          <w:szCs w:val="20"/>
          <w:lang w:val="en-AU"/>
        </w:rPr>
        <w:t xml:space="preserve"> across the Indo-Pacific region were operating at least five iXc-funded programs</w:t>
      </w:r>
      <w:r w:rsidR="00A03B46">
        <w:rPr>
          <w:rFonts w:ascii="Calibri" w:eastAsia="Calibri" w:hAnsi="Calibri" w:cs="Times New Roman"/>
          <w:color w:val="000000"/>
          <w:sz w:val="20"/>
          <w:szCs w:val="20"/>
          <w:lang w:val="en-AU"/>
        </w:rPr>
        <w:t xml:space="preserve">, </w:t>
      </w:r>
      <w:r w:rsidR="00D67DDC" w:rsidRPr="002C5C19">
        <w:rPr>
          <w:rFonts w:ascii="Calibri" w:eastAsia="Calibri" w:hAnsi="Calibri" w:cs="Times New Roman"/>
          <w:color w:val="000000"/>
          <w:sz w:val="20"/>
          <w:szCs w:val="20"/>
          <w:lang w:val="en-AU"/>
        </w:rPr>
        <w:t xml:space="preserve">including those delivered through the </w:t>
      </w:r>
      <w:hyperlink r:id="rId69" w:history="1">
        <w:r w:rsidR="00D67DDC" w:rsidRPr="00B71023">
          <w:rPr>
            <w:rStyle w:val="Hyperlink"/>
            <w:rFonts w:ascii="Calibri" w:eastAsia="Calibri" w:hAnsi="Calibri" w:cs="Times New Roman"/>
            <w:sz w:val="20"/>
            <w:szCs w:val="20"/>
            <w:lang w:val="en-AU"/>
          </w:rPr>
          <w:t>Global Innovation Fund</w:t>
        </w:r>
      </w:hyperlink>
      <w:r w:rsidR="00D67DDC" w:rsidRPr="002C5C19">
        <w:rPr>
          <w:rFonts w:ascii="Calibri" w:eastAsia="Calibri" w:hAnsi="Calibri" w:cs="Times New Roman"/>
          <w:color w:val="000000"/>
          <w:sz w:val="20"/>
          <w:szCs w:val="20"/>
          <w:lang w:val="en-AU"/>
        </w:rPr>
        <w:t>.</w:t>
      </w:r>
    </w:p>
    <w:p w14:paraId="4BF8D366" w14:textId="1706CE68" w:rsidR="0083035E" w:rsidRPr="0083035E" w:rsidRDefault="0083035E" w:rsidP="00D67DDC">
      <w:pPr>
        <w:spacing w:after="80"/>
        <w:jc w:val="both"/>
        <w:rPr>
          <w:rFonts w:ascii="Calibri" w:eastAsia="Calibri" w:hAnsi="Calibri" w:cs="Times New Roman"/>
          <w:color w:val="000000"/>
          <w:sz w:val="20"/>
          <w:szCs w:val="20"/>
        </w:rPr>
      </w:pPr>
      <w:r w:rsidRPr="0083035E">
        <w:rPr>
          <w:rFonts w:ascii="Calibri" w:eastAsia="Calibri" w:hAnsi="Calibri" w:cs="Times New Roman"/>
          <w:color w:val="000000"/>
          <w:sz w:val="20"/>
          <w:szCs w:val="20"/>
          <w:lang w:val="en-AU"/>
        </w:rPr>
        <w:t>Building capacity at post was a key objective of the Australian Development Accelerator (ADA), around which R4D conducted a separate analysis. </w:t>
      </w:r>
      <w:r w:rsidRPr="0083035E">
        <w:rPr>
          <w:rFonts w:ascii="Calibri" w:eastAsia="Calibri" w:hAnsi="Calibri" w:cs="Times New Roman"/>
          <w:color w:val="000000"/>
          <w:sz w:val="20"/>
          <w:szCs w:val="20"/>
          <w:lang w:val="en-GB"/>
        </w:rPr>
        <w:t>The ADA operated through two platforms from inception in January 2017</w:t>
      </w:r>
      <w:r>
        <w:rPr>
          <w:rFonts w:ascii="Calibri" w:eastAsia="Calibri" w:hAnsi="Calibri" w:cs="Times New Roman"/>
          <w:color w:val="000000"/>
          <w:sz w:val="20"/>
          <w:szCs w:val="20"/>
          <w:lang w:val="en-GB"/>
        </w:rPr>
        <w:t>:</w:t>
      </w:r>
      <w:r w:rsidRPr="0083035E">
        <w:rPr>
          <w:rFonts w:ascii="Calibri" w:eastAsia="Calibri" w:hAnsi="Calibri" w:cs="Times New Roman"/>
          <w:color w:val="000000"/>
          <w:sz w:val="20"/>
          <w:szCs w:val="20"/>
          <w:lang w:val="en-GB"/>
        </w:rPr>
        <w:t xml:space="preserve"> the Pilot and Test Fund</w:t>
      </w:r>
      <w:r w:rsidR="000D2E4E">
        <w:rPr>
          <w:rFonts w:ascii="Calibri" w:eastAsia="Calibri" w:hAnsi="Calibri" w:cs="Times New Roman"/>
          <w:color w:val="000000"/>
          <w:sz w:val="20"/>
          <w:szCs w:val="20"/>
          <w:lang w:val="en-GB"/>
        </w:rPr>
        <w:t xml:space="preserve">, which aimed </w:t>
      </w:r>
      <w:r w:rsidRPr="0083035E">
        <w:rPr>
          <w:rFonts w:ascii="Calibri" w:eastAsia="Calibri" w:hAnsi="Calibri" w:cs="Times New Roman"/>
          <w:color w:val="000000"/>
          <w:sz w:val="20"/>
          <w:szCs w:val="20"/>
          <w:lang w:val="en-GB"/>
        </w:rPr>
        <w:t xml:space="preserve">to </w:t>
      </w:r>
      <w:r>
        <w:rPr>
          <w:rFonts w:ascii="Calibri" w:eastAsia="Calibri" w:hAnsi="Calibri" w:cs="Times New Roman"/>
          <w:color w:val="000000"/>
          <w:sz w:val="20"/>
          <w:szCs w:val="20"/>
          <w:lang w:val="en-GB"/>
        </w:rPr>
        <w:t xml:space="preserve">empower </w:t>
      </w:r>
      <w:r w:rsidRPr="0083035E">
        <w:rPr>
          <w:rFonts w:ascii="Calibri" w:eastAsia="Calibri" w:hAnsi="Calibri" w:cs="Times New Roman"/>
          <w:color w:val="000000"/>
          <w:sz w:val="20"/>
          <w:szCs w:val="20"/>
          <w:lang w:val="en-GB"/>
        </w:rPr>
        <w:t xml:space="preserve">posts </w:t>
      </w:r>
      <w:r>
        <w:rPr>
          <w:rFonts w:ascii="Calibri" w:eastAsia="Calibri" w:hAnsi="Calibri" w:cs="Times New Roman"/>
          <w:color w:val="000000"/>
          <w:sz w:val="20"/>
          <w:szCs w:val="20"/>
          <w:lang w:val="en-GB"/>
        </w:rPr>
        <w:t>to</w:t>
      </w:r>
      <w:r w:rsidRPr="0083035E">
        <w:rPr>
          <w:rFonts w:ascii="Calibri" w:eastAsia="Calibri" w:hAnsi="Calibri" w:cs="Times New Roman"/>
          <w:color w:val="000000"/>
          <w:sz w:val="20"/>
          <w:szCs w:val="20"/>
          <w:lang w:val="en-GB"/>
        </w:rPr>
        <w:t xml:space="preserve"> </w:t>
      </w:r>
      <w:r>
        <w:rPr>
          <w:rFonts w:ascii="Calibri" w:eastAsia="Calibri" w:hAnsi="Calibri" w:cs="Times New Roman"/>
          <w:color w:val="000000"/>
          <w:sz w:val="20"/>
          <w:szCs w:val="20"/>
          <w:lang w:val="en-GB"/>
        </w:rPr>
        <w:t>source and support</w:t>
      </w:r>
      <w:r w:rsidR="000D2E4E">
        <w:rPr>
          <w:rFonts w:ascii="Calibri" w:eastAsia="Calibri" w:hAnsi="Calibri" w:cs="Times New Roman"/>
          <w:color w:val="000000"/>
          <w:sz w:val="20"/>
          <w:szCs w:val="20"/>
          <w:lang w:val="en-GB"/>
        </w:rPr>
        <w:t xml:space="preserve"> locally-driven</w:t>
      </w:r>
      <w:r>
        <w:rPr>
          <w:rFonts w:ascii="Calibri" w:eastAsia="Calibri" w:hAnsi="Calibri" w:cs="Times New Roman"/>
          <w:color w:val="000000"/>
          <w:sz w:val="20"/>
          <w:szCs w:val="20"/>
          <w:lang w:val="en-GB"/>
        </w:rPr>
        <w:t xml:space="preserve"> innovations,</w:t>
      </w:r>
      <w:r w:rsidRPr="0083035E">
        <w:rPr>
          <w:rFonts w:ascii="Calibri" w:eastAsia="Calibri" w:hAnsi="Calibri" w:cs="Times New Roman"/>
          <w:color w:val="000000"/>
          <w:sz w:val="20"/>
          <w:szCs w:val="20"/>
          <w:lang w:val="en-GB"/>
        </w:rPr>
        <w:t xml:space="preserve"> and the Innovative Practice Fund</w:t>
      </w:r>
      <w:r w:rsidR="000D2E4E">
        <w:rPr>
          <w:rFonts w:ascii="Calibri" w:eastAsia="Calibri" w:hAnsi="Calibri" w:cs="Times New Roman"/>
          <w:color w:val="000000"/>
          <w:sz w:val="20"/>
          <w:szCs w:val="20"/>
          <w:lang w:val="en-GB"/>
        </w:rPr>
        <w:t xml:space="preserve">, which </w:t>
      </w:r>
      <w:r>
        <w:rPr>
          <w:rFonts w:ascii="Calibri" w:eastAsia="Calibri" w:hAnsi="Calibri" w:cs="Times New Roman"/>
          <w:color w:val="000000"/>
          <w:sz w:val="20"/>
          <w:szCs w:val="20"/>
          <w:lang w:val="en-GB"/>
        </w:rPr>
        <w:t>assist</w:t>
      </w:r>
      <w:r w:rsidR="000D2E4E">
        <w:rPr>
          <w:rFonts w:ascii="Calibri" w:eastAsia="Calibri" w:hAnsi="Calibri" w:cs="Times New Roman"/>
          <w:color w:val="000000"/>
          <w:sz w:val="20"/>
          <w:szCs w:val="20"/>
          <w:lang w:val="en-GB"/>
        </w:rPr>
        <w:t>ed</w:t>
      </w:r>
      <w:r>
        <w:rPr>
          <w:rFonts w:ascii="Calibri" w:eastAsia="Calibri" w:hAnsi="Calibri" w:cs="Times New Roman"/>
          <w:color w:val="000000"/>
          <w:sz w:val="20"/>
          <w:szCs w:val="20"/>
          <w:lang w:val="en-GB"/>
        </w:rPr>
        <w:t xml:space="preserve"> </w:t>
      </w:r>
      <w:r w:rsidRPr="0083035E">
        <w:rPr>
          <w:rFonts w:ascii="Calibri" w:eastAsia="Calibri" w:hAnsi="Calibri" w:cs="Times New Roman"/>
          <w:color w:val="000000"/>
          <w:sz w:val="20"/>
          <w:szCs w:val="20"/>
          <w:lang w:val="en-GB"/>
        </w:rPr>
        <w:t xml:space="preserve">DFAT development teams </w:t>
      </w:r>
      <w:r w:rsidR="000D2E4E">
        <w:rPr>
          <w:rFonts w:ascii="Calibri" w:eastAsia="Calibri" w:hAnsi="Calibri" w:cs="Times New Roman"/>
          <w:color w:val="000000"/>
          <w:sz w:val="20"/>
          <w:szCs w:val="20"/>
          <w:lang w:val="en-GB"/>
        </w:rPr>
        <w:t>to</w:t>
      </w:r>
      <w:r w:rsidRPr="0083035E">
        <w:rPr>
          <w:rFonts w:ascii="Calibri" w:eastAsia="Calibri" w:hAnsi="Calibri" w:cs="Times New Roman"/>
          <w:color w:val="000000"/>
          <w:sz w:val="20"/>
          <w:szCs w:val="20"/>
          <w:lang w:val="en-GB"/>
        </w:rPr>
        <w:t xml:space="preserve"> pilot </w:t>
      </w:r>
      <w:r w:rsidR="000D2E4E">
        <w:rPr>
          <w:rFonts w:ascii="Calibri" w:eastAsia="Calibri" w:hAnsi="Calibri" w:cs="Times New Roman"/>
          <w:color w:val="000000"/>
          <w:sz w:val="20"/>
          <w:szCs w:val="20"/>
          <w:lang w:val="en-GB"/>
        </w:rPr>
        <w:t xml:space="preserve">innovative </w:t>
      </w:r>
      <w:r w:rsidRPr="0083035E">
        <w:rPr>
          <w:rFonts w:ascii="Calibri" w:eastAsia="Calibri" w:hAnsi="Calibri" w:cs="Times New Roman"/>
          <w:color w:val="000000"/>
          <w:sz w:val="20"/>
          <w:szCs w:val="20"/>
          <w:lang w:val="en-GB"/>
        </w:rPr>
        <w:t>internal practices. Applications were received through open enrolment from Jan</w:t>
      </w:r>
      <w:r>
        <w:rPr>
          <w:rFonts w:ascii="Calibri" w:eastAsia="Calibri" w:hAnsi="Calibri" w:cs="Times New Roman"/>
          <w:color w:val="000000"/>
          <w:sz w:val="20"/>
          <w:szCs w:val="20"/>
          <w:lang w:val="en-GB"/>
        </w:rPr>
        <w:t>uary</w:t>
      </w:r>
      <w:r w:rsidRPr="0083035E">
        <w:rPr>
          <w:rFonts w:ascii="Calibri" w:eastAsia="Calibri" w:hAnsi="Calibri" w:cs="Times New Roman"/>
          <w:color w:val="000000"/>
          <w:sz w:val="20"/>
          <w:szCs w:val="20"/>
          <w:lang w:val="en-GB"/>
        </w:rPr>
        <w:t xml:space="preserve"> 2017 through</w:t>
      </w:r>
      <w:r w:rsidR="0085137C">
        <w:rPr>
          <w:rFonts w:ascii="Calibri" w:eastAsia="Calibri" w:hAnsi="Calibri" w:cs="Times New Roman"/>
          <w:color w:val="000000"/>
          <w:sz w:val="20"/>
          <w:szCs w:val="20"/>
          <w:lang w:val="en-GB"/>
        </w:rPr>
        <w:t>out</w:t>
      </w:r>
      <w:r w:rsidRPr="0083035E">
        <w:rPr>
          <w:rFonts w:ascii="Calibri" w:eastAsia="Calibri" w:hAnsi="Calibri" w:cs="Times New Roman"/>
          <w:color w:val="000000"/>
          <w:sz w:val="20"/>
          <w:szCs w:val="20"/>
          <w:lang w:val="en-GB"/>
        </w:rPr>
        <w:t xml:space="preserve"> 2018.</w:t>
      </w:r>
    </w:p>
    <w:p w14:paraId="5D551844" w14:textId="737E7A33" w:rsidR="00D67DDC" w:rsidRPr="002C5C19" w:rsidRDefault="00D67DDC" w:rsidP="00D67DDC">
      <w:pPr>
        <w:spacing w:after="80"/>
        <w:jc w:val="both"/>
        <w:rPr>
          <w:rFonts w:ascii="Calibri" w:eastAsia="Times New Roman" w:hAnsi="Calibri" w:cs="Times New Roman"/>
          <w:color w:val="000000"/>
          <w:sz w:val="20"/>
          <w:szCs w:val="20"/>
          <w:lang w:val="en-AU"/>
        </w:rPr>
      </w:pPr>
      <w:r w:rsidRPr="002C5C19">
        <w:rPr>
          <w:rFonts w:ascii="Calibri" w:eastAsia="Times New Roman" w:hAnsi="Calibri" w:cs="Times New Roman"/>
          <w:color w:val="000000"/>
          <w:sz w:val="20"/>
          <w:szCs w:val="20"/>
          <w:lang w:val="en-AU"/>
        </w:rPr>
        <w:t>Feedback from country post staff, gathered through interviews and an online survey</w:t>
      </w:r>
      <w:r w:rsidR="009662C0">
        <w:rPr>
          <w:rFonts w:ascii="Calibri" w:eastAsia="Times New Roman" w:hAnsi="Calibri" w:cs="Times New Roman"/>
          <w:color w:val="000000"/>
          <w:sz w:val="20"/>
          <w:szCs w:val="20"/>
          <w:lang w:val="en-AU"/>
        </w:rPr>
        <w:t xml:space="preserve"> conducted by R4D</w:t>
      </w:r>
      <w:r w:rsidRPr="002C5C19">
        <w:rPr>
          <w:rFonts w:ascii="Calibri" w:eastAsia="Times New Roman" w:hAnsi="Calibri" w:cs="Times New Roman"/>
          <w:color w:val="000000"/>
          <w:sz w:val="20"/>
          <w:szCs w:val="20"/>
          <w:lang w:val="en-AU"/>
        </w:rPr>
        <w:t>, indicated that posts were primarily drawn to the ADA by the prospects of developing new partnerships, attracting additional funding, and generating support for innovative work</w:t>
      </w:r>
      <w:r w:rsidR="00A80296">
        <w:rPr>
          <w:rFonts w:ascii="Calibri" w:eastAsia="Times New Roman" w:hAnsi="Calibri" w:cs="Times New Roman"/>
          <w:color w:val="000000"/>
          <w:sz w:val="20"/>
          <w:szCs w:val="20"/>
          <w:lang w:val="en-AU"/>
        </w:rPr>
        <w:t xml:space="preserve"> that lacked resourcing under existing mechanisms</w:t>
      </w:r>
      <w:r w:rsidRPr="002C5C19">
        <w:rPr>
          <w:rFonts w:ascii="Calibri" w:eastAsia="Times New Roman" w:hAnsi="Calibri" w:cs="Times New Roman"/>
          <w:color w:val="000000"/>
          <w:sz w:val="20"/>
          <w:szCs w:val="20"/>
          <w:lang w:val="en-AU"/>
        </w:rPr>
        <w:t>. Posts expressed lower levels of interest in capacity building, although responses suggest</w:t>
      </w:r>
      <w:r w:rsidR="0085137C">
        <w:rPr>
          <w:rFonts w:ascii="Calibri" w:eastAsia="Times New Roman" w:hAnsi="Calibri" w:cs="Times New Roman"/>
          <w:color w:val="000000"/>
          <w:sz w:val="20"/>
          <w:szCs w:val="20"/>
          <w:lang w:val="en-AU"/>
        </w:rPr>
        <w:t>ed</w:t>
      </w:r>
      <w:r w:rsidRPr="002C5C19">
        <w:rPr>
          <w:rFonts w:ascii="Calibri" w:eastAsia="Times New Roman" w:hAnsi="Calibri" w:cs="Times New Roman"/>
          <w:color w:val="000000"/>
          <w:sz w:val="20"/>
          <w:szCs w:val="20"/>
          <w:lang w:val="en-AU"/>
        </w:rPr>
        <w:t xml:space="preserve"> that the ADA did help posts to landscape emerging solutions and taught staff the unique process requirements of supporting innovation, including building in generous timeframes and ongoing communication mechanisms with partners. Posts also expressed comfort with co-managing ADA-funded innovators.</w:t>
      </w:r>
    </w:p>
    <w:p w14:paraId="2490BECC" w14:textId="1308FB0E" w:rsidR="00D67DDC" w:rsidRPr="002C5C19" w:rsidRDefault="00D67DDC" w:rsidP="00D67DDC">
      <w:pPr>
        <w:spacing w:after="80"/>
        <w:jc w:val="both"/>
        <w:rPr>
          <w:rFonts w:ascii="Calibri" w:eastAsia="Times New Roman" w:hAnsi="Calibri" w:cs="Times New Roman"/>
          <w:color w:val="000000"/>
          <w:sz w:val="20"/>
          <w:szCs w:val="20"/>
          <w:lang w:val="en-AU"/>
        </w:rPr>
      </w:pPr>
      <w:r w:rsidRPr="002C5C19">
        <w:rPr>
          <w:rFonts w:ascii="Calibri" w:eastAsia="Times New Roman" w:hAnsi="Calibri" w:cs="Times New Roman"/>
          <w:color w:val="000000"/>
          <w:sz w:val="20"/>
          <w:szCs w:val="20"/>
          <w:lang w:val="en-AU"/>
        </w:rPr>
        <w:t>Some of the key challenges that emerged from this analysis were: i) communication and information barriers around the</w:t>
      </w:r>
      <w:r w:rsidR="006B53CF">
        <w:rPr>
          <w:rFonts w:ascii="Calibri" w:eastAsia="Times New Roman" w:hAnsi="Calibri" w:cs="Times New Roman"/>
          <w:color w:val="000000"/>
          <w:sz w:val="20"/>
          <w:szCs w:val="20"/>
          <w:lang w:val="en-AU"/>
        </w:rPr>
        <w:t xml:space="preserve"> </w:t>
      </w:r>
      <w:r w:rsidR="00D96530">
        <w:rPr>
          <w:rFonts w:ascii="Calibri" w:eastAsia="Times New Roman" w:hAnsi="Calibri" w:cs="Times New Roman"/>
          <w:color w:val="000000"/>
          <w:sz w:val="20"/>
          <w:szCs w:val="20"/>
          <w:lang w:val="en-AU"/>
        </w:rPr>
        <w:t>program</w:t>
      </w:r>
      <w:r w:rsidR="00B85A44">
        <w:rPr>
          <w:rFonts w:ascii="Calibri" w:eastAsia="Times New Roman" w:hAnsi="Calibri" w:cs="Times New Roman"/>
          <w:color w:val="000000"/>
          <w:sz w:val="20"/>
          <w:szCs w:val="20"/>
          <w:lang w:val="en-AU"/>
        </w:rPr>
        <w:t xml:space="preserve"> as a whole (with some posts unaware it was being run)</w:t>
      </w:r>
      <w:r w:rsidRPr="002C5C19">
        <w:rPr>
          <w:rFonts w:ascii="Calibri" w:eastAsia="Times New Roman" w:hAnsi="Calibri" w:cs="Times New Roman"/>
          <w:color w:val="000000"/>
          <w:sz w:val="20"/>
          <w:szCs w:val="20"/>
          <w:lang w:val="en-AU"/>
        </w:rPr>
        <w:t xml:space="preserve">, the funding available and the eligibility criteria; ii) the low readiness of posts to co-fund innovators due to limited budgets, resources or complicated process requirements; and iii) a propensity for posts to support existing innovators rather than catalyse the design of new initiatives. </w:t>
      </w:r>
    </w:p>
    <w:p w14:paraId="5FF466A2" w14:textId="0F1911F3" w:rsidR="00D67DDC" w:rsidRPr="002C5C19" w:rsidRDefault="00D67DDC" w:rsidP="00D67DDC">
      <w:pPr>
        <w:spacing w:before="200" w:after="160"/>
        <w:ind w:left="864" w:right="864"/>
        <w:jc w:val="center"/>
        <w:rPr>
          <w:rFonts w:ascii="Calibri" w:eastAsia="Calibri" w:hAnsi="Calibri" w:cs="Times New Roman"/>
          <w:i/>
          <w:iCs/>
          <w:color w:val="007B88"/>
          <w:sz w:val="20"/>
          <w:szCs w:val="20"/>
          <w:lang w:val="en-AU"/>
        </w:rPr>
      </w:pPr>
      <w:r w:rsidRPr="002C5C19">
        <w:rPr>
          <w:rFonts w:ascii="Calibri" w:eastAsia="Calibri" w:hAnsi="Calibri" w:cs="Times New Roman"/>
          <w:i/>
          <w:iCs/>
          <w:color w:val="007B88"/>
          <w:sz w:val="20"/>
          <w:szCs w:val="20"/>
          <w:lang w:val="en-AU"/>
        </w:rPr>
        <w:lastRenderedPageBreak/>
        <w:t>Of 25 respondents to an online survey (about 25</w:t>
      </w:r>
      <w:r w:rsidR="006111F1">
        <w:rPr>
          <w:rFonts w:ascii="Calibri" w:eastAsia="Calibri" w:hAnsi="Calibri" w:cs="Times New Roman"/>
          <w:i/>
          <w:iCs/>
          <w:color w:val="007B88"/>
          <w:sz w:val="20"/>
          <w:szCs w:val="20"/>
          <w:lang w:val="en-AU"/>
        </w:rPr>
        <w:t xml:space="preserve">% </w:t>
      </w:r>
      <w:r w:rsidRPr="002C5C19">
        <w:rPr>
          <w:rFonts w:ascii="Calibri" w:eastAsia="Calibri" w:hAnsi="Calibri" w:cs="Times New Roman"/>
          <w:i/>
          <w:iCs/>
          <w:color w:val="007B88"/>
          <w:sz w:val="20"/>
          <w:szCs w:val="20"/>
          <w:lang w:val="en-AU"/>
        </w:rPr>
        <w:t>of all DFAT posts)</w:t>
      </w:r>
      <w:r w:rsidR="006111F1">
        <w:rPr>
          <w:rFonts w:ascii="Calibri" w:eastAsia="Calibri" w:hAnsi="Calibri" w:cs="Times New Roman"/>
          <w:i/>
          <w:iCs/>
          <w:color w:val="007B88"/>
          <w:sz w:val="20"/>
          <w:szCs w:val="20"/>
          <w:lang w:val="en-AU"/>
        </w:rPr>
        <w:t>,</w:t>
      </w:r>
      <w:r w:rsidR="006111F1">
        <w:rPr>
          <w:rFonts w:ascii="Calibri" w:eastAsia="Calibri" w:hAnsi="Calibri" w:cs="Times New Roman"/>
          <w:i/>
          <w:iCs/>
          <w:color w:val="007B88"/>
          <w:sz w:val="20"/>
          <w:szCs w:val="20"/>
          <w:lang w:val="en-AU"/>
        </w:rPr>
        <w:br/>
      </w:r>
      <w:r w:rsidRPr="002C5C19">
        <w:rPr>
          <w:rFonts w:ascii="Calibri" w:eastAsia="Calibri" w:hAnsi="Calibri" w:cs="Times New Roman"/>
          <w:i/>
          <w:iCs/>
          <w:color w:val="007B88"/>
          <w:sz w:val="20"/>
          <w:szCs w:val="20"/>
          <w:lang w:val="en-AU"/>
        </w:rPr>
        <w:t>only nine had heard of the ADA.</w:t>
      </w:r>
    </w:p>
    <w:p w14:paraId="72767777" w14:textId="79303F51" w:rsidR="000E2673" w:rsidRPr="002C5C19" w:rsidRDefault="00014FEE" w:rsidP="000E2673">
      <w:pPr>
        <w:spacing w:after="80"/>
        <w:jc w:val="both"/>
        <w:rPr>
          <w:rFonts w:ascii="Calibri" w:eastAsia="Calibri" w:hAnsi="Calibri" w:cs="Times New Roman"/>
          <w:color w:val="000000"/>
          <w:sz w:val="20"/>
          <w:szCs w:val="20"/>
          <w:lang w:val="en-AU"/>
        </w:rPr>
      </w:pPr>
      <w:r>
        <w:rPr>
          <w:rFonts w:ascii="Calibri" w:eastAsia="Calibri" w:hAnsi="Calibri" w:cs="Times New Roman"/>
          <w:color w:val="000000"/>
          <w:sz w:val="20"/>
          <w:szCs w:val="20"/>
          <w:lang w:val="en-AU"/>
        </w:rPr>
        <w:t>In addition to engagement through the ADA, p</w:t>
      </w:r>
      <w:r w:rsidR="000E2673" w:rsidRPr="002C5C19">
        <w:rPr>
          <w:rFonts w:ascii="Calibri" w:eastAsia="Calibri" w:hAnsi="Calibri" w:cs="Times New Roman"/>
          <w:color w:val="000000"/>
          <w:sz w:val="20"/>
          <w:szCs w:val="20"/>
          <w:lang w:val="en-AU"/>
        </w:rPr>
        <w:t xml:space="preserve">osts </w:t>
      </w:r>
      <w:r w:rsidR="00D4634F">
        <w:rPr>
          <w:rFonts w:ascii="Calibri" w:eastAsia="Calibri" w:hAnsi="Calibri" w:cs="Times New Roman"/>
          <w:color w:val="000000"/>
          <w:sz w:val="20"/>
          <w:szCs w:val="20"/>
          <w:lang w:val="en-AU"/>
        </w:rPr>
        <w:t>were</w:t>
      </w:r>
      <w:r w:rsidR="000E2673" w:rsidRPr="002C5C19">
        <w:rPr>
          <w:rFonts w:ascii="Calibri" w:eastAsia="Calibri" w:hAnsi="Calibri" w:cs="Times New Roman"/>
          <w:color w:val="000000"/>
          <w:sz w:val="20"/>
          <w:szCs w:val="20"/>
          <w:lang w:val="en-AU"/>
        </w:rPr>
        <w:t xml:space="preserve"> </w:t>
      </w:r>
      <w:r w:rsidR="00ED577A">
        <w:rPr>
          <w:rFonts w:ascii="Calibri" w:eastAsia="Calibri" w:hAnsi="Calibri" w:cs="Times New Roman"/>
          <w:color w:val="000000"/>
          <w:sz w:val="20"/>
          <w:szCs w:val="20"/>
          <w:lang w:val="en-AU"/>
        </w:rPr>
        <w:t xml:space="preserve">engaged strategically </w:t>
      </w:r>
      <w:r w:rsidR="00D4634F">
        <w:rPr>
          <w:rFonts w:ascii="Calibri" w:eastAsia="Calibri" w:hAnsi="Calibri" w:cs="Times New Roman"/>
          <w:color w:val="000000"/>
          <w:sz w:val="20"/>
          <w:szCs w:val="20"/>
          <w:lang w:val="en-AU"/>
        </w:rPr>
        <w:t>on</w:t>
      </w:r>
      <w:r w:rsidR="00ED577A">
        <w:rPr>
          <w:rFonts w:ascii="Calibri" w:eastAsia="Calibri" w:hAnsi="Calibri" w:cs="Times New Roman"/>
          <w:color w:val="000000"/>
          <w:sz w:val="20"/>
          <w:szCs w:val="20"/>
          <w:lang w:val="en-AU"/>
        </w:rPr>
        <w:t xml:space="preserve"> other</w:t>
      </w:r>
      <w:r w:rsidR="000E2673" w:rsidRPr="002C5C19">
        <w:rPr>
          <w:rFonts w:ascii="Calibri" w:eastAsia="Calibri" w:hAnsi="Calibri" w:cs="Times New Roman"/>
          <w:color w:val="000000"/>
          <w:sz w:val="20"/>
          <w:szCs w:val="20"/>
          <w:lang w:val="en-AU"/>
        </w:rPr>
        <w:t xml:space="preserve"> iXc-funded programs to varying degrees. For instance, for the </w:t>
      </w:r>
      <w:hyperlink r:id="rId70" w:history="1">
        <w:r w:rsidR="000E2673" w:rsidRPr="003643DC">
          <w:rPr>
            <w:rStyle w:val="Hyperlink"/>
            <w:rFonts w:ascii="Calibri" w:eastAsia="Calibri" w:hAnsi="Calibri" w:cs="Times New Roman"/>
            <w:sz w:val="20"/>
            <w:szCs w:val="20"/>
            <w:lang w:val="en-AU"/>
          </w:rPr>
          <w:t>Frontier Innovators</w:t>
        </w:r>
      </w:hyperlink>
      <w:r w:rsidR="000E2673" w:rsidRPr="002C5C19">
        <w:rPr>
          <w:rFonts w:ascii="Calibri" w:eastAsia="Calibri" w:hAnsi="Calibri" w:cs="Times New Roman"/>
          <w:color w:val="000000"/>
          <w:sz w:val="20"/>
          <w:szCs w:val="20"/>
          <w:lang w:val="en-AU"/>
        </w:rPr>
        <w:t xml:space="preserve"> program, posts were engaged in reviewing submissions from some of the 732 applicants, as part of a collaborative selection process. On </w:t>
      </w:r>
      <w:r w:rsidR="006F3411">
        <w:rPr>
          <w:rFonts w:ascii="Calibri" w:eastAsia="Calibri" w:hAnsi="Calibri" w:cs="Times New Roman"/>
          <w:color w:val="000000"/>
          <w:sz w:val="20"/>
          <w:szCs w:val="20"/>
          <w:lang w:val="en-AU"/>
        </w:rPr>
        <w:t xml:space="preserve">the </w:t>
      </w:r>
      <w:hyperlink r:id="rId71" w:history="1">
        <w:r w:rsidR="000E2673" w:rsidRPr="00CC7E08">
          <w:rPr>
            <w:rStyle w:val="Hyperlink"/>
            <w:rFonts w:ascii="Calibri" w:eastAsia="Calibri" w:hAnsi="Calibri" w:cs="Times New Roman"/>
            <w:sz w:val="20"/>
            <w:szCs w:val="20"/>
            <w:lang w:val="en-AU"/>
          </w:rPr>
          <w:t>Aus4Innovation</w:t>
        </w:r>
      </w:hyperlink>
      <w:r w:rsidR="000E2673" w:rsidRPr="002C5C19">
        <w:rPr>
          <w:rFonts w:ascii="Calibri" w:eastAsia="Calibri" w:hAnsi="Calibri" w:cs="Times New Roman"/>
          <w:color w:val="000000"/>
          <w:sz w:val="20"/>
          <w:szCs w:val="20"/>
          <w:lang w:val="en-AU"/>
        </w:rPr>
        <w:t xml:space="preserve"> program, a partnership which aims to support the development of a stronger innovation ecosystem in Vietnam, the country post is leading on </w:t>
      </w:r>
      <w:r w:rsidR="00FE35CC">
        <w:rPr>
          <w:rFonts w:ascii="Calibri" w:eastAsia="Calibri" w:hAnsi="Calibri" w:cs="Times New Roman"/>
          <w:color w:val="000000"/>
          <w:sz w:val="20"/>
          <w:szCs w:val="20"/>
          <w:lang w:val="en-AU"/>
        </w:rPr>
        <w:t>implementation, with support from the iXc</w:t>
      </w:r>
      <w:r w:rsidR="007D7103">
        <w:rPr>
          <w:rFonts w:ascii="Calibri" w:eastAsia="Calibri" w:hAnsi="Calibri" w:cs="Times New Roman"/>
          <w:color w:val="000000"/>
          <w:sz w:val="20"/>
          <w:szCs w:val="20"/>
          <w:lang w:val="en-AU"/>
        </w:rPr>
        <w:t xml:space="preserve"> only</w:t>
      </w:r>
      <w:r w:rsidR="00FE35CC">
        <w:rPr>
          <w:rFonts w:ascii="Calibri" w:eastAsia="Calibri" w:hAnsi="Calibri" w:cs="Times New Roman"/>
          <w:color w:val="000000"/>
          <w:sz w:val="20"/>
          <w:szCs w:val="20"/>
          <w:lang w:val="en-AU"/>
        </w:rPr>
        <w:t xml:space="preserve"> at the strategic level.</w:t>
      </w:r>
      <w:r w:rsidR="000E2673" w:rsidRPr="002C5C19">
        <w:rPr>
          <w:rFonts w:ascii="Calibri" w:eastAsia="Calibri" w:hAnsi="Calibri" w:cs="Times New Roman"/>
          <w:color w:val="000000"/>
          <w:sz w:val="20"/>
          <w:szCs w:val="20"/>
          <w:lang w:val="en-AU"/>
        </w:rPr>
        <w:t xml:space="preserve"> </w:t>
      </w:r>
    </w:p>
    <w:p w14:paraId="5DF3C808" w14:textId="77777777" w:rsidR="002C3069" w:rsidRDefault="007C3464" w:rsidP="00D67DDC">
      <w:pPr>
        <w:spacing w:after="80"/>
        <w:jc w:val="both"/>
        <w:rPr>
          <w:color w:val="00A6B6" w:themeColor="accent1"/>
          <w:sz w:val="20"/>
          <w:szCs w:val="20"/>
        </w:rPr>
      </w:pPr>
      <w:r w:rsidRPr="001E2B1A">
        <w:rPr>
          <w:b/>
          <w:color w:val="00A6B6" w:themeColor="accent1"/>
          <w:sz w:val="20"/>
          <w:szCs w:val="20"/>
        </w:rPr>
        <w:t>Recommendations:</w:t>
      </w:r>
      <w:r w:rsidRPr="001E2B1A">
        <w:rPr>
          <w:color w:val="00A6B6" w:themeColor="accent1"/>
          <w:sz w:val="20"/>
          <w:szCs w:val="20"/>
        </w:rPr>
        <w:t xml:space="preserve"> </w:t>
      </w:r>
    </w:p>
    <w:p w14:paraId="24D69E0A" w14:textId="308E22E2" w:rsidR="00B533E6" w:rsidRPr="007D7103" w:rsidRDefault="00D67DDC" w:rsidP="009349B6">
      <w:pPr>
        <w:pStyle w:val="ListParagraph"/>
        <w:numPr>
          <w:ilvl w:val="0"/>
          <w:numId w:val="19"/>
        </w:numPr>
        <w:spacing w:after="80"/>
        <w:jc w:val="both"/>
        <w:rPr>
          <w:rFonts w:ascii="Calibri" w:hAnsi="Calibri"/>
          <w:color w:val="000000"/>
          <w:sz w:val="20"/>
          <w:szCs w:val="20"/>
          <w:lang w:val="en-AU"/>
        </w:rPr>
      </w:pPr>
      <w:r w:rsidRPr="007D7103">
        <w:rPr>
          <w:rFonts w:ascii="Calibri" w:hAnsi="Calibri"/>
          <w:color w:val="000000"/>
          <w:sz w:val="20"/>
          <w:szCs w:val="20"/>
          <w:lang w:val="en-AU"/>
        </w:rPr>
        <w:t xml:space="preserve">A common thread in feedback from country post staff was the need for </w:t>
      </w:r>
      <w:r w:rsidRPr="007D7103">
        <w:rPr>
          <w:rFonts w:ascii="Calibri" w:hAnsi="Calibri"/>
          <w:b/>
          <w:color w:val="000000"/>
          <w:sz w:val="20"/>
          <w:szCs w:val="20"/>
          <w:lang w:val="en-AU"/>
        </w:rPr>
        <w:t>increased communication</w:t>
      </w:r>
      <w:r w:rsidRPr="007D7103">
        <w:rPr>
          <w:rFonts w:ascii="Calibri" w:hAnsi="Calibri"/>
          <w:color w:val="000000"/>
          <w:sz w:val="20"/>
          <w:szCs w:val="20"/>
          <w:lang w:val="en-AU"/>
        </w:rPr>
        <w:t xml:space="preserve"> with the iXc, and it was noted that this should include in-person meetings</w:t>
      </w:r>
      <w:r w:rsidR="00B533E6" w:rsidRPr="007D7103">
        <w:rPr>
          <w:rFonts w:ascii="Calibri" w:hAnsi="Calibri"/>
          <w:color w:val="000000"/>
          <w:sz w:val="20"/>
          <w:szCs w:val="20"/>
          <w:lang w:val="en-AU"/>
        </w:rPr>
        <w:t>;</w:t>
      </w:r>
    </w:p>
    <w:p w14:paraId="3F19CD03" w14:textId="291D2BC9" w:rsidR="00B533E6" w:rsidRPr="007D7103" w:rsidRDefault="00F8051D" w:rsidP="009349B6">
      <w:pPr>
        <w:pStyle w:val="ListParagraph"/>
        <w:numPr>
          <w:ilvl w:val="0"/>
          <w:numId w:val="19"/>
        </w:numPr>
        <w:spacing w:after="80"/>
        <w:jc w:val="both"/>
        <w:rPr>
          <w:rFonts w:ascii="Calibri" w:hAnsi="Calibri"/>
          <w:color w:val="000000"/>
          <w:sz w:val="20"/>
          <w:szCs w:val="20"/>
          <w:lang w:val="en-AU"/>
        </w:rPr>
      </w:pPr>
      <w:r w:rsidRPr="007D7103">
        <w:rPr>
          <w:rFonts w:ascii="Calibri" w:eastAsia="Calibri" w:hAnsi="Calibri"/>
          <w:color w:val="000000"/>
          <w:sz w:val="20"/>
          <w:szCs w:val="20"/>
          <w:lang w:val="en-AU"/>
        </w:rPr>
        <w:t>T</w:t>
      </w:r>
      <w:r w:rsidR="00D67DDC" w:rsidRPr="007D7103">
        <w:rPr>
          <w:rFonts w:ascii="Calibri" w:eastAsia="Calibri" w:hAnsi="Calibri"/>
          <w:color w:val="000000"/>
          <w:sz w:val="20"/>
          <w:szCs w:val="20"/>
          <w:lang w:val="en-AU"/>
        </w:rPr>
        <w:t xml:space="preserve">here </w:t>
      </w:r>
      <w:r w:rsidR="00325A17" w:rsidRPr="007D7103">
        <w:rPr>
          <w:rFonts w:ascii="Calibri" w:eastAsia="Calibri" w:hAnsi="Calibri"/>
          <w:color w:val="000000"/>
          <w:sz w:val="20"/>
          <w:szCs w:val="20"/>
          <w:lang w:val="en-AU"/>
        </w:rPr>
        <w:t xml:space="preserve">is also opportunity </w:t>
      </w:r>
      <w:r w:rsidR="00D67DDC" w:rsidRPr="007D7103">
        <w:rPr>
          <w:rFonts w:ascii="Calibri" w:eastAsia="Calibri" w:hAnsi="Calibri"/>
          <w:color w:val="000000"/>
          <w:sz w:val="20"/>
          <w:szCs w:val="20"/>
          <w:lang w:val="en-AU"/>
        </w:rPr>
        <w:t xml:space="preserve">for </w:t>
      </w:r>
      <w:r w:rsidR="00D67DDC" w:rsidRPr="007D7103">
        <w:rPr>
          <w:rFonts w:ascii="Calibri" w:eastAsia="Calibri" w:hAnsi="Calibri"/>
          <w:b/>
          <w:color w:val="000000"/>
          <w:sz w:val="20"/>
          <w:szCs w:val="20"/>
          <w:lang w:val="en-AU"/>
        </w:rPr>
        <w:t>improved alignment of funding with posts’ strategies</w:t>
      </w:r>
      <w:r w:rsidR="00325A17" w:rsidRPr="007D7103">
        <w:rPr>
          <w:rFonts w:ascii="Calibri" w:eastAsia="Calibri" w:hAnsi="Calibri"/>
          <w:color w:val="000000"/>
          <w:sz w:val="20"/>
          <w:szCs w:val="20"/>
          <w:lang w:val="en-AU"/>
        </w:rPr>
        <w:t>, which should include integrating innovative approaches into existing or pipeline programs rather than creating parallel programs</w:t>
      </w:r>
      <w:r w:rsidR="00B533E6" w:rsidRPr="007D7103">
        <w:rPr>
          <w:rFonts w:ascii="Calibri" w:eastAsia="Calibri" w:hAnsi="Calibri"/>
          <w:color w:val="000000"/>
          <w:sz w:val="20"/>
          <w:szCs w:val="20"/>
          <w:lang w:val="en-AU"/>
        </w:rPr>
        <w:t>;</w:t>
      </w:r>
      <w:r w:rsidR="00325A17" w:rsidRPr="007D7103">
        <w:rPr>
          <w:rFonts w:ascii="Calibri" w:eastAsia="Calibri" w:hAnsi="Calibri"/>
          <w:color w:val="000000"/>
          <w:sz w:val="20"/>
          <w:szCs w:val="20"/>
          <w:lang w:val="en-AU"/>
        </w:rPr>
        <w:t xml:space="preserve"> </w:t>
      </w:r>
    </w:p>
    <w:p w14:paraId="51B984E3" w14:textId="77777777" w:rsidR="00B533E6" w:rsidRPr="007D7103" w:rsidRDefault="00B533E6" w:rsidP="009349B6">
      <w:pPr>
        <w:pStyle w:val="ListParagraph"/>
        <w:numPr>
          <w:ilvl w:val="0"/>
          <w:numId w:val="19"/>
        </w:numPr>
        <w:spacing w:after="80"/>
        <w:jc w:val="both"/>
        <w:rPr>
          <w:rFonts w:ascii="Calibri" w:hAnsi="Calibri"/>
          <w:color w:val="000000"/>
          <w:sz w:val="20"/>
          <w:szCs w:val="20"/>
          <w:lang w:val="en-AU"/>
        </w:rPr>
      </w:pPr>
      <w:r w:rsidRPr="007D7103">
        <w:rPr>
          <w:rFonts w:ascii="Calibri" w:eastAsia="Calibri" w:hAnsi="Calibri"/>
          <w:color w:val="000000"/>
          <w:sz w:val="20"/>
          <w:szCs w:val="20"/>
          <w:lang w:val="en-AU"/>
        </w:rPr>
        <w:t>T</w:t>
      </w:r>
      <w:r w:rsidR="00D67DDC" w:rsidRPr="007D7103">
        <w:rPr>
          <w:rFonts w:ascii="Calibri" w:eastAsia="Calibri" w:hAnsi="Calibri"/>
          <w:color w:val="000000"/>
          <w:sz w:val="20"/>
          <w:szCs w:val="20"/>
        </w:rPr>
        <w:t xml:space="preserve">he iXc needs to carefully consider how to wrap up pilots and </w:t>
      </w:r>
      <w:r w:rsidR="00D67DDC" w:rsidRPr="007D7103">
        <w:rPr>
          <w:rFonts w:ascii="Calibri" w:eastAsia="Calibri" w:hAnsi="Calibri"/>
          <w:b/>
          <w:color w:val="000000"/>
          <w:sz w:val="20"/>
          <w:szCs w:val="20"/>
        </w:rPr>
        <w:t>provide support throughout the handoff</w:t>
      </w:r>
      <w:r w:rsidR="00D67DDC" w:rsidRPr="007D7103">
        <w:rPr>
          <w:rFonts w:ascii="Calibri" w:eastAsia="Calibri" w:hAnsi="Calibri"/>
          <w:color w:val="000000"/>
          <w:sz w:val="20"/>
          <w:szCs w:val="20"/>
        </w:rPr>
        <w:t xml:space="preserve"> to posts to ensure sustainability</w:t>
      </w:r>
      <w:r w:rsidRPr="007D7103">
        <w:rPr>
          <w:rFonts w:ascii="Calibri" w:eastAsia="Calibri" w:hAnsi="Calibri"/>
          <w:color w:val="000000"/>
          <w:sz w:val="20"/>
          <w:szCs w:val="20"/>
        </w:rPr>
        <w:t>; and</w:t>
      </w:r>
    </w:p>
    <w:p w14:paraId="3E123C7A" w14:textId="2FFA9728" w:rsidR="00D67DDC" w:rsidRPr="007D7103" w:rsidRDefault="00D67DDC" w:rsidP="009349B6">
      <w:pPr>
        <w:pStyle w:val="ListParagraph"/>
        <w:numPr>
          <w:ilvl w:val="0"/>
          <w:numId w:val="19"/>
        </w:numPr>
        <w:spacing w:after="0" w:afterAutospacing="0"/>
        <w:jc w:val="both"/>
        <w:rPr>
          <w:rFonts w:ascii="Calibri" w:hAnsi="Calibri"/>
          <w:color w:val="000000"/>
          <w:sz w:val="20"/>
          <w:szCs w:val="20"/>
          <w:lang w:val="en-AU"/>
        </w:rPr>
      </w:pPr>
      <w:r w:rsidRPr="007D7103">
        <w:rPr>
          <w:rFonts w:ascii="Calibri" w:hAnsi="Calibri"/>
          <w:color w:val="000000"/>
          <w:sz w:val="20"/>
          <w:szCs w:val="20"/>
          <w:lang w:val="en-AU"/>
        </w:rPr>
        <w:t xml:space="preserve">iXc should aim to capitalize on the significant appetite among posts </w:t>
      </w:r>
      <w:r w:rsidR="00325A17" w:rsidRPr="007D7103">
        <w:rPr>
          <w:rFonts w:ascii="Calibri" w:hAnsi="Calibri"/>
          <w:color w:val="000000"/>
          <w:sz w:val="20"/>
          <w:szCs w:val="20"/>
          <w:lang w:val="en-AU"/>
        </w:rPr>
        <w:t>for more in</w:t>
      </w:r>
      <w:r w:rsidR="006210A3" w:rsidRPr="007D7103">
        <w:rPr>
          <w:rFonts w:ascii="Calibri" w:hAnsi="Calibri"/>
          <w:color w:val="000000"/>
          <w:sz w:val="20"/>
          <w:szCs w:val="20"/>
          <w:lang w:val="en-AU"/>
        </w:rPr>
        <w:t>formation</w:t>
      </w:r>
      <w:r w:rsidRPr="007D7103">
        <w:rPr>
          <w:rFonts w:ascii="Calibri" w:hAnsi="Calibri"/>
          <w:color w:val="000000"/>
          <w:sz w:val="20"/>
          <w:szCs w:val="20"/>
          <w:lang w:val="en-AU"/>
        </w:rPr>
        <w:t xml:space="preserve"> about opportunities to work on innovation. 82</w:t>
      </w:r>
      <w:r w:rsidR="007B2A07">
        <w:rPr>
          <w:rFonts w:ascii="Calibri" w:hAnsi="Calibri"/>
          <w:color w:val="000000"/>
          <w:sz w:val="20"/>
          <w:szCs w:val="20"/>
          <w:lang w:val="en-AU"/>
        </w:rPr>
        <w:t xml:space="preserve">% </w:t>
      </w:r>
      <w:r w:rsidRPr="007D7103">
        <w:rPr>
          <w:rFonts w:ascii="Calibri" w:hAnsi="Calibri"/>
          <w:color w:val="000000"/>
          <w:sz w:val="20"/>
          <w:szCs w:val="20"/>
          <w:lang w:val="en-AU"/>
        </w:rPr>
        <w:t xml:space="preserve">of survey respondents wanted to hear more about innovation and identified </w:t>
      </w:r>
      <w:r w:rsidRPr="007D7103">
        <w:rPr>
          <w:rFonts w:ascii="Calibri" w:hAnsi="Calibri"/>
          <w:b/>
          <w:color w:val="000000"/>
          <w:sz w:val="20"/>
          <w:szCs w:val="20"/>
          <w:lang w:val="en-AU"/>
        </w:rPr>
        <w:t>numerous sectors where innovation might be a good fit</w:t>
      </w:r>
      <w:r w:rsidR="007B2A07">
        <w:rPr>
          <w:rFonts w:ascii="Calibri" w:hAnsi="Calibri"/>
          <w:color w:val="000000"/>
          <w:sz w:val="20"/>
          <w:szCs w:val="20"/>
          <w:lang w:val="en-AU"/>
        </w:rPr>
        <w:t>:</w:t>
      </w:r>
    </w:p>
    <w:p w14:paraId="5CA6F62D" w14:textId="77777777" w:rsidR="00D67DDC" w:rsidRPr="007D7103" w:rsidRDefault="00D67DDC" w:rsidP="009349B6">
      <w:pPr>
        <w:numPr>
          <w:ilvl w:val="0"/>
          <w:numId w:val="7"/>
        </w:numPr>
        <w:spacing w:after="100" w:afterAutospacing="1"/>
        <w:jc w:val="both"/>
        <w:rPr>
          <w:rFonts w:ascii="Calibri" w:eastAsia="Times New Roman" w:hAnsi="Calibri" w:cs="Times New Roman"/>
          <w:color w:val="000000"/>
          <w:sz w:val="20"/>
          <w:szCs w:val="20"/>
          <w:lang w:val="en-AU"/>
        </w:rPr>
      </w:pPr>
      <w:r w:rsidRPr="007D7103">
        <w:rPr>
          <w:rFonts w:ascii="Calibri" w:eastAsia="Times New Roman" w:hAnsi="Calibri" w:cs="Times New Roman"/>
          <w:b/>
          <w:color w:val="000000"/>
          <w:sz w:val="20"/>
          <w:szCs w:val="20"/>
          <w:lang w:val="en-AU"/>
        </w:rPr>
        <w:t>Aid</w:t>
      </w:r>
      <w:r w:rsidRPr="007D7103">
        <w:rPr>
          <w:rFonts w:ascii="Calibri" w:eastAsia="Times New Roman" w:hAnsi="Calibri" w:cs="Times New Roman"/>
          <w:color w:val="000000"/>
          <w:sz w:val="20"/>
          <w:szCs w:val="20"/>
          <w:lang w:val="en-AU"/>
        </w:rPr>
        <w:t>, including food security, behaviour change, plastic pollution in the pacific, development outcomes of innovation projects, and social enterprise;</w:t>
      </w:r>
    </w:p>
    <w:p w14:paraId="0C3EFEBB" w14:textId="77777777" w:rsidR="00D67DDC" w:rsidRPr="007D7103" w:rsidRDefault="00D67DDC" w:rsidP="009349B6">
      <w:pPr>
        <w:numPr>
          <w:ilvl w:val="0"/>
          <w:numId w:val="7"/>
        </w:numPr>
        <w:spacing w:after="80" w:afterAutospacing="1"/>
        <w:jc w:val="both"/>
        <w:rPr>
          <w:rFonts w:ascii="Calibri" w:eastAsia="Times New Roman" w:hAnsi="Calibri" w:cs="Times New Roman"/>
          <w:color w:val="000000"/>
          <w:sz w:val="20"/>
          <w:szCs w:val="20"/>
          <w:lang w:val="en-AU"/>
        </w:rPr>
      </w:pPr>
      <w:r w:rsidRPr="007D7103">
        <w:rPr>
          <w:rFonts w:ascii="Calibri" w:eastAsia="Times New Roman" w:hAnsi="Calibri" w:cs="Times New Roman"/>
          <w:b/>
          <w:color w:val="000000"/>
          <w:sz w:val="20"/>
          <w:szCs w:val="20"/>
          <w:lang w:val="en-AU"/>
        </w:rPr>
        <w:t>Management</w:t>
      </w:r>
      <w:r w:rsidRPr="007D7103">
        <w:rPr>
          <w:rFonts w:ascii="Calibri" w:eastAsia="Times New Roman" w:hAnsi="Calibri" w:cs="Times New Roman"/>
          <w:color w:val="000000"/>
          <w:sz w:val="20"/>
          <w:szCs w:val="20"/>
          <w:lang w:val="en-AU"/>
        </w:rPr>
        <w:t>, including development of client-focused platforms and improving efficiency; and</w:t>
      </w:r>
    </w:p>
    <w:p w14:paraId="797F80DB" w14:textId="5E99F9EC" w:rsidR="005C36C3" w:rsidRPr="007D7103" w:rsidRDefault="00D67DDC" w:rsidP="009349B6">
      <w:pPr>
        <w:numPr>
          <w:ilvl w:val="0"/>
          <w:numId w:val="7"/>
        </w:numPr>
        <w:spacing w:after="80"/>
        <w:jc w:val="both"/>
        <w:rPr>
          <w:rFonts w:ascii="Calibri" w:eastAsia="Times New Roman" w:hAnsi="Calibri" w:cs="Times New Roman"/>
          <w:color w:val="000000"/>
          <w:sz w:val="20"/>
          <w:szCs w:val="20"/>
          <w:lang w:val="en-AU"/>
        </w:rPr>
      </w:pPr>
      <w:r w:rsidRPr="007D7103">
        <w:rPr>
          <w:rFonts w:ascii="Calibri" w:eastAsia="Times New Roman" w:hAnsi="Calibri" w:cs="Times New Roman"/>
          <w:b/>
          <w:color w:val="000000"/>
          <w:sz w:val="20"/>
          <w:szCs w:val="20"/>
          <w:lang w:val="en-AU"/>
        </w:rPr>
        <w:t>Fragile states</w:t>
      </w:r>
      <w:r w:rsidRPr="007D7103">
        <w:rPr>
          <w:rFonts w:ascii="Calibri" w:eastAsia="Times New Roman" w:hAnsi="Calibri" w:cs="Times New Roman"/>
          <w:color w:val="000000"/>
          <w:sz w:val="20"/>
          <w:szCs w:val="20"/>
          <w:lang w:val="en-AU"/>
        </w:rPr>
        <w:t>, including innovative approaches to conflict, innovation in foreign policy, and leveraging innovative practices in microstates.</w:t>
      </w:r>
    </w:p>
    <w:p w14:paraId="7221006A" w14:textId="77777777" w:rsidR="001C7040" w:rsidRPr="001C7040" w:rsidRDefault="001C7040" w:rsidP="001F2786">
      <w:pPr>
        <w:spacing w:after="80"/>
        <w:jc w:val="both"/>
        <w:rPr>
          <w:rFonts w:ascii="Calibri" w:hAnsi="Calibri"/>
          <w:color w:val="000000"/>
          <w:sz w:val="20"/>
          <w:szCs w:val="20"/>
          <w:lang w:val="en-AU"/>
        </w:rPr>
      </w:pPr>
    </w:p>
    <w:p w14:paraId="0E077360" w14:textId="1DF829BD" w:rsidR="00E91AAC" w:rsidRPr="00EB34F4" w:rsidRDefault="00EB34F4" w:rsidP="001F2786">
      <w:pPr>
        <w:pStyle w:val="Heading2"/>
        <w:jc w:val="both"/>
      </w:pPr>
      <w:r w:rsidRPr="00EB34F4">
        <w:rPr>
          <w:lang w:val="en-US"/>
        </w:rPr>
        <w:t>Approaches to monitoring</w:t>
      </w:r>
      <w:r w:rsidR="006F0DDD">
        <w:rPr>
          <w:lang w:val="en-US"/>
        </w:rPr>
        <w:t xml:space="preserve">, </w:t>
      </w:r>
      <w:r w:rsidRPr="00EB34F4">
        <w:rPr>
          <w:lang w:val="en-US"/>
        </w:rPr>
        <w:t>evaluat</w:t>
      </w:r>
      <w:r w:rsidR="00C453B4">
        <w:rPr>
          <w:lang w:val="en-US"/>
        </w:rPr>
        <w:t>ion</w:t>
      </w:r>
      <w:r w:rsidR="006F0DDD">
        <w:rPr>
          <w:lang w:val="en-US"/>
        </w:rPr>
        <w:t xml:space="preserve"> and learning</w:t>
      </w:r>
    </w:p>
    <w:p w14:paraId="289C1FFF" w14:textId="6FB9726C" w:rsidR="00220A1F" w:rsidRDefault="003D1A67" w:rsidP="001F2786">
      <w:pPr>
        <w:spacing w:after="80"/>
        <w:jc w:val="both"/>
        <w:rPr>
          <w:rFonts w:ascii="Calibri" w:hAnsi="Calibri"/>
          <w:sz w:val="20"/>
          <w:szCs w:val="20"/>
          <w:lang w:val="en-AU"/>
        </w:rPr>
      </w:pPr>
      <w:r>
        <w:rPr>
          <w:rFonts w:ascii="Calibri" w:hAnsi="Calibri"/>
          <w:sz w:val="20"/>
          <w:szCs w:val="20"/>
          <w:lang w:val="en-AU"/>
        </w:rPr>
        <w:t xml:space="preserve">The iXc </w:t>
      </w:r>
      <w:r w:rsidR="003F6B12">
        <w:rPr>
          <w:rFonts w:ascii="Calibri" w:hAnsi="Calibri"/>
          <w:sz w:val="20"/>
          <w:szCs w:val="20"/>
          <w:lang w:val="en-AU"/>
        </w:rPr>
        <w:t xml:space="preserve">has </w:t>
      </w:r>
      <w:r w:rsidR="00D13B79">
        <w:rPr>
          <w:rFonts w:ascii="Calibri" w:hAnsi="Calibri"/>
          <w:sz w:val="20"/>
          <w:szCs w:val="20"/>
          <w:lang w:val="en-AU"/>
        </w:rPr>
        <w:t>invested a lot of time in considering</w:t>
      </w:r>
      <w:r>
        <w:rPr>
          <w:rFonts w:ascii="Calibri" w:hAnsi="Calibri"/>
          <w:sz w:val="20"/>
          <w:szCs w:val="20"/>
          <w:lang w:val="en-AU"/>
        </w:rPr>
        <w:t xml:space="preserve"> how best to monitor and evaluate its work, acknowledging that </w:t>
      </w:r>
      <w:r w:rsidR="00167509">
        <w:rPr>
          <w:rFonts w:ascii="Calibri" w:hAnsi="Calibri"/>
          <w:sz w:val="20"/>
          <w:szCs w:val="20"/>
          <w:lang w:val="en-AU"/>
        </w:rPr>
        <w:t>methods</w:t>
      </w:r>
      <w:r>
        <w:rPr>
          <w:rFonts w:ascii="Calibri" w:hAnsi="Calibri"/>
          <w:sz w:val="20"/>
          <w:szCs w:val="20"/>
          <w:lang w:val="en-AU"/>
        </w:rPr>
        <w:t xml:space="preserve"> and indicators typically used in development programming may not be suitable for the innovation context</w:t>
      </w:r>
      <w:r w:rsidR="00671984">
        <w:rPr>
          <w:rFonts w:ascii="Calibri" w:hAnsi="Calibri"/>
          <w:sz w:val="20"/>
          <w:szCs w:val="20"/>
          <w:lang w:val="en-AU"/>
        </w:rPr>
        <w:t xml:space="preserve">, which lends itself to a greater emphasis on </w:t>
      </w:r>
      <w:r w:rsidR="00D13B79">
        <w:rPr>
          <w:rFonts w:ascii="Calibri" w:hAnsi="Calibri"/>
          <w:sz w:val="20"/>
          <w:szCs w:val="20"/>
          <w:lang w:val="en-AU"/>
        </w:rPr>
        <w:t xml:space="preserve">adaptive </w:t>
      </w:r>
      <w:r w:rsidR="00671984">
        <w:rPr>
          <w:rFonts w:ascii="Calibri" w:hAnsi="Calibri"/>
          <w:sz w:val="20"/>
          <w:szCs w:val="20"/>
          <w:lang w:val="en-AU"/>
        </w:rPr>
        <w:t>learning and forecasting impact.</w:t>
      </w:r>
    </w:p>
    <w:p w14:paraId="3B7F32D4" w14:textId="32BFC877" w:rsidR="008022D0" w:rsidRDefault="00340BD9" w:rsidP="001F2786">
      <w:pPr>
        <w:spacing w:after="80"/>
        <w:jc w:val="both"/>
        <w:rPr>
          <w:rFonts w:ascii="Calibri" w:hAnsi="Calibri"/>
          <w:sz w:val="20"/>
          <w:szCs w:val="20"/>
          <w:lang w:val="en-AU"/>
        </w:rPr>
      </w:pPr>
      <w:r>
        <w:rPr>
          <w:rFonts w:ascii="Calibri" w:hAnsi="Calibri"/>
          <w:sz w:val="20"/>
          <w:szCs w:val="20"/>
          <w:lang w:val="en-AU"/>
        </w:rPr>
        <w:t xml:space="preserve">The iXc has been </w:t>
      </w:r>
      <w:r w:rsidR="00A1633D">
        <w:rPr>
          <w:rFonts w:ascii="Calibri" w:hAnsi="Calibri"/>
          <w:sz w:val="20"/>
          <w:szCs w:val="20"/>
          <w:lang w:val="en-AU"/>
        </w:rPr>
        <w:t>refining</w:t>
      </w:r>
      <w:r>
        <w:rPr>
          <w:rFonts w:ascii="Calibri" w:hAnsi="Calibri"/>
          <w:sz w:val="20"/>
          <w:szCs w:val="20"/>
          <w:lang w:val="en-AU"/>
        </w:rPr>
        <w:t xml:space="preserve"> its evaluation</w:t>
      </w:r>
      <w:r w:rsidR="00A1633D">
        <w:rPr>
          <w:rFonts w:ascii="Calibri" w:hAnsi="Calibri"/>
          <w:sz w:val="20"/>
          <w:szCs w:val="20"/>
          <w:lang w:val="en-AU"/>
        </w:rPr>
        <w:t xml:space="preserve"> approach to better match evaluation tools with the r</w:t>
      </w:r>
      <w:r w:rsidR="00E041AD">
        <w:rPr>
          <w:rFonts w:ascii="Calibri" w:hAnsi="Calibri"/>
          <w:sz w:val="20"/>
          <w:szCs w:val="20"/>
          <w:lang w:val="en-AU"/>
        </w:rPr>
        <w:t>i</w:t>
      </w:r>
      <w:r w:rsidR="00A1633D">
        <w:rPr>
          <w:rFonts w:ascii="Calibri" w:hAnsi="Calibri"/>
          <w:sz w:val="20"/>
          <w:szCs w:val="20"/>
          <w:lang w:val="en-AU"/>
        </w:rPr>
        <w:t>gour of analysis required at different stages across their portfolio</w:t>
      </w:r>
      <w:r w:rsidR="00E041AD">
        <w:rPr>
          <w:rFonts w:ascii="Calibri" w:hAnsi="Calibri"/>
          <w:sz w:val="20"/>
          <w:szCs w:val="20"/>
          <w:lang w:val="en-AU"/>
        </w:rPr>
        <w:t>, in line with the diagram below.</w:t>
      </w:r>
      <w:r w:rsidR="00E041AD">
        <w:rPr>
          <w:rStyle w:val="FootnoteReference"/>
          <w:rFonts w:ascii="Calibri" w:hAnsi="Calibri"/>
          <w:sz w:val="20"/>
          <w:szCs w:val="20"/>
          <w:lang w:val="en-AU"/>
        </w:rPr>
        <w:footnoteReference w:id="17"/>
      </w:r>
    </w:p>
    <w:p w14:paraId="37FD706E" w14:textId="58F6DEBC" w:rsidR="007F27C4" w:rsidRDefault="00867687" w:rsidP="001F2786">
      <w:pPr>
        <w:spacing w:after="80"/>
        <w:jc w:val="both"/>
        <w:rPr>
          <w:rFonts w:ascii="Calibri" w:hAnsi="Calibri"/>
          <w:sz w:val="20"/>
          <w:szCs w:val="20"/>
          <w:lang w:val="en-AU"/>
        </w:rPr>
      </w:pPr>
      <w:r>
        <w:rPr>
          <w:noProof/>
          <w:sz w:val="16"/>
          <w:szCs w:val="16"/>
        </w:rPr>
        <w:drawing>
          <wp:inline distT="0" distB="0" distL="0" distR="0" wp14:anchorId="11CBAAF1" wp14:editId="7C7C36B4">
            <wp:extent cx="3851840" cy="26345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5-03 at 3.47.19 PM.pn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3903761" cy="2670072"/>
                    </a:xfrm>
                    <a:prstGeom prst="rect">
                      <a:avLst/>
                    </a:prstGeom>
                  </pic:spPr>
                </pic:pic>
              </a:graphicData>
            </a:graphic>
          </wp:inline>
        </w:drawing>
      </w:r>
    </w:p>
    <w:p w14:paraId="6E7519CB" w14:textId="34128D3F" w:rsidR="007F27C4" w:rsidRPr="007F27C4" w:rsidRDefault="007F27C4" w:rsidP="001F2786">
      <w:pPr>
        <w:spacing w:after="80"/>
        <w:jc w:val="both"/>
        <w:rPr>
          <w:rFonts w:eastAsia="Times New Roman" w:cs="Times New Roman"/>
          <w:b/>
          <w:i/>
          <w:color w:val="572181" w:themeColor="accent3"/>
          <w:sz w:val="18"/>
          <w:szCs w:val="18"/>
          <w:lang w:val="en-AU"/>
        </w:rPr>
      </w:pPr>
      <w:r w:rsidRPr="00CB114A">
        <w:rPr>
          <w:rFonts w:eastAsia="Times New Roman" w:cs="Times New Roman"/>
          <w:b/>
          <w:i/>
          <w:color w:val="572181" w:themeColor="accent3"/>
          <w:sz w:val="18"/>
          <w:szCs w:val="18"/>
          <w:lang w:val="en-AU"/>
        </w:rPr>
        <w:t xml:space="preserve">Figure </w:t>
      </w:r>
      <w:r>
        <w:rPr>
          <w:rFonts w:eastAsia="Times New Roman" w:cs="Times New Roman"/>
          <w:b/>
          <w:i/>
          <w:color w:val="572181" w:themeColor="accent3"/>
          <w:sz w:val="18"/>
          <w:szCs w:val="18"/>
          <w:lang w:val="en-AU"/>
        </w:rPr>
        <w:t>4</w:t>
      </w:r>
      <w:r w:rsidRPr="00CB114A">
        <w:rPr>
          <w:rFonts w:eastAsia="Times New Roman" w:cs="Times New Roman"/>
          <w:b/>
          <w:i/>
          <w:color w:val="572181" w:themeColor="accent3"/>
          <w:sz w:val="18"/>
          <w:szCs w:val="18"/>
          <w:lang w:val="en-AU"/>
        </w:rPr>
        <w:t xml:space="preserve">: </w:t>
      </w:r>
      <w:r>
        <w:rPr>
          <w:rFonts w:eastAsia="Times New Roman" w:cs="Times New Roman"/>
          <w:b/>
          <w:i/>
          <w:color w:val="572181" w:themeColor="accent3"/>
          <w:sz w:val="18"/>
          <w:szCs w:val="18"/>
          <w:lang w:val="en-AU"/>
        </w:rPr>
        <w:t>Evaluation approaches, m</w:t>
      </w:r>
      <w:r w:rsidRPr="007F27C4">
        <w:rPr>
          <w:rFonts w:eastAsia="Times New Roman" w:cs="Times New Roman"/>
          <w:b/>
          <w:i/>
          <w:color w:val="572181" w:themeColor="accent3"/>
          <w:sz w:val="18"/>
          <w:szCs w:val="18"/>
          <w:lang w:val="en-AU"/>
        </w:rPr>
        <w:t>apping the level of quantitative rigor to the amount of uncertainty</w:t>
      </w:r>
      <w:r w:rsidR="00186601">
        <w:rPr>
          <w:rFonts w:eastAsia="Times New Roman" w:cs="Times New Roman"/>
          <w:b/>
          <w:i/>
          <w:color w:val="572181" w:themeColor="accent3"/>
          <w:sz w:val="18"/>
          <w:szCs w:val="18"/>
          <w:lang w:val="en-AU"/>
        </w:rPr>
        <w:t xml:space="preserve"> </w:t>
      </w:r>
    </w:p>
    <w:p w14:paraId="4EF5A4F8" w14:textId="11ADF1B2" w:rsidR="00671984" w:rsidRPr="00EB6FCD" w:rsidRDefault="005E1B98" w:rsidP="001F2786">
      <w:pPr>
        <w:spacing w:after="80"/>
        <w:jc w:val="both"/>
        <w:rPr>
          <w:rFonts w:ascii="Calibri" w:eastAsia="Times New Roman" w:hAnsi="Calibri" w:cs="Times New Roman"/>
          <w:color w:val="000000"/>
          <w:sz w:val="20"/>
          <w:szCs w:val="20"/>
          <w:lang w:val="en-AU"/>
        </w:rPr>
      </w:pPr>
      <w:r>
        <w:rPr>
          <w:rFonts w:ascii="Calibri" w:hAnsi="Calibri"/>
          <w:sz w:val="20"/>
          <w:szCs w:val="20"/>
          <w:lang w:val="en-AU"/>
        </w:rPr>
        <w:lastRenderedPageBreak/>
        <w:t xml:space="preserve">In the </w:t>
      </w:r>
      <w:r w:rsidR="006140B1">
        <w:rPr>
          <w:rFonts w:ascii="Calibri" w:hAnsi="Calibri"/>
          <w:sz w:val="20"/>
          <w:szCs w:val="20"/>
          <w:lang w:val="en-AU"/>
        </w:rPr>
        <w:t>early days of the iXc, a</w:t>
      </w:r>
      <w:r w:rsidR="004B1E30">
        <w:rPr>
          <w:rFonts w:ascii="Calibri" w:hAnsi="Calibri"/>
          <w:sz w:val="20"/>
          <w:szCs w:val="20"/>
          <w:lang w:val="en-AU"/>
        </w:rPr>
        <w:t xml:space="preserve"> </w:t>
      </w:r>
      <w:r w:rsidR="006140B1">
        <w:rPr>
          <w:rFonts w:ascii="Calibri" w:hAnsi="Calibri"/>
          <w:sz w:val="20"/>
          <w:szCs w:val="20"/>
          <w:lang w:val="en-AU"/>
        </w:rPr>
        <w:t xml:space="preserve">set of </w:t>
      </w:r>
      <w:r w:rsidR="00D13B79">
        <w:rPr>
          <w:rFonts w:ascii="Calibri" w:hAnsi="Calibri"/>
          <w:sz w:val="20"/>
          <w:szCs w:val="20"/>
          <w:lang w:val="en-AU"/>
        </w:rPr>
        <w:t xml:space="preserve">‘Headline </w:t>
      </w:r>
      <w:r w:rsidR="006140B1">
        <w:rPr>
          <w:rFonts w:ascii="Calibri" w:hAnsi="Calibri"/>
          <w:sz w:val="20"/>
          <w:szCs w:val="20"/>
          <w:lang w:val="en-AU"/>
        </w:rPr>
        <w:t>indicators</w:t>
      </w:r>
      <w:r w:rsidR="00D13B79">
        <w:rPr>
          <w:rFonts w:ascii="Calibri" w:hAnsi="Calibri"/>
          <w:sz w:val="20"/>
          <w:szCs w:val="20"/>
          <w:lang w:val="en-AU"/>
        </w:rPr>
        <w:t>’</w:t>
      </w:r>
      <w:r w:rsidR="006140B1">
        <w:rPr>
          <w:rFonts w:ascii="Calibri" w:hAnsi="Calibri"/>
          <w:sz w:val="20"/>
          <w:szCs w:val="20"/>
          <w:lang w:val="en-AU"/>
        </w:rPr>
        <w:t xml:space="preserve"> were developed as part of a results framework to monitor targets in the areas of experimentation, partnering, and learning</w:t>
      </w:r>
      <w:r w:rsidR="00D13B79">
        <w:rPr>
          <w:rFonts w:ascii="Calibri" w:hAnsi="Calibri"/>
          <w:sz w:val="20"/>
          <w:szCs w:val="20"/>
          <w:lang w:val="en-AU"/>
        </w:rPr>
        <w:t xml:space="preserve">. However, informed by its growing experience and associated learning in this space, the iXc began to reflect on some of the ways in which these initial indicators needed adjustment to more effectively capture the nature of the iXc’s contribution (see table below). </w:t>
      </w:r>
    </w:p>
    <w:tbl>
      <w:tblPr>
        <w:tblStyle w:val="ListTable3-Accent1"/>
        <w:tblW w:w="9355" w:type="dxa"/>
        <w:tblCellMar>
          <w:top w:w="72" w:type="dxa"/>
          <w:left w:w="72" w:type="dxa"/>
          <w:bottom w:w="72" w:type="dxa"/>
          <w:right w:w="72" w:type="dxa"/>
        </w:tblCellMar>
        <w:tblLook w:val="04A0" w:firstRow="1" w:lastRow="0" w:firstColumn="1" w:lastColumn="0" w:noHBand="0" w:noVBand="1"/>
      </w:tblPr>
      <w:tblGrid>
        <w:gridCol w:w="1830"/>
        <w:gridCol w:w="7525"/>
      </w:tblGrid>
      <w:tr w:rsidR="00B36618" w:rsidRPr="003F5E8A" w14:paraId="3EA05667" w14:textId="76E88348" w:rsidTr="00B366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0" w:type="dxa"/>
          </w:tcPr>
          <w:p w14:paraId="12ECC0B3" w14:textId="7D352B9C" w:rsidR="00B36618" w:rsidRPr="003F5E8A" w:rsidRDefault="00B36618" w:rsidP="001F2786">
            <w:pPr>
              <w:pStyle w:val="Default"/>
              <w:jc w:val="both"/>
              <w:rPr>
                <w:bCs w:val="0"/>
                <w:color w:val="FFFFFF" w:themeColor="background1"/>
                <w:sz w:val="18"/>
                <w:szCs w:val="18"/>
              </w:rPr>
            </w:pPr>
            <w:r w:rsidRPr="003F5E8A">
              <w:rPr>
                <w:bCs w:val="0"/>
                <w:color w:val="FFFFFF" w:themeColor="background1"/>
                <w:sz w:val="18"/>
                <w:szCs w:val="18"/>
              </w:rPr>
              <w:t>Headline indicator</w:t>
            </w:r>
          </w:p>
        </w:tc>
        <w:tc>
          <w:tcPr>
            <w:tcW w:w="7525" w:type="dxa"/>
          </w:tcPr>
          <w:p w14:paraId="1FA957F7" w14:textId="073EBE73" w:rsidR="00B36618" w:rsidRPr="003F5E8A" w:rsidRDefault="00B36618" w:rsidP="001F2786">
            <w:pPr>
              <w:pStyle w:val="Default"/>
              <w:jc w:val="both"/>
              <w:cnfStyle w:val="100000000000" w:firstRow="1" w:lastRow="0" w:firstColumn="0" w:lastColumn="0" w:oddVBand="0" w:evenVBand="0" w:oddHBand="0" w:evenHBand="0" w:firstRowFirstColumn="0" w:firstRowLastColumn="0" w:lastRowFirstColumn="0" w:lastRowLastColumn="0"/>
              <w:rPr>
                <w:bCs w:val="0"/>
                <w:color w:val="FFFFFF" w:themeColor="background1"/>
                <w:sz w:val="18"/>
                <w:szCs w:val="18"/>
                <w:lang w:val="en-AU"/>
              </w:rPr>
            </w:pPr>
            <w:r w:rsidRPr="003F5E8A">
              <w:rPr>
                <w:bCs w:val="0"/>
                <w:color w:val="FFFFFF" w:themeColor="background1"/>
                <w:sz w:val="18"/>
                <w:szCs w:val="18"/>
                <w:lang w:val="en-AU"/>
              </w:rPr>
              <w:t>Reflections</w:t>
            </w:r>
            <w:r>
              <w:rPr>
                <w:bCs w:val="0"/>
                <w:color w:val="FFFFFF" w:themeColor="background1"/>
                <w:sz w:val="18"/>
                <w:szCs w:val="18"/>
                <w:lang w:val="en-AU"/>
              </w:rPr>
              <w:t xml:space="preserve"> and recommendations</w:t>
            </w:r>
          </w:p>
        </w:tc>
      </w:tr>
      <w:tr w:rsidR="00B36618" w:rsidRPr="003F5E8A" w14:paraId="40178A13" w14:textId="39748109" w:rsidTr="00B36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127C2802" w14:textId="0615F56D" w:rsidR="00B36618" w:rsidRPr="00620389" w:rsidRDefault="00B36618" w:rsidP="00AC2762">
            <w:pPr>
              <w:pStyle w:val="Default"/>
              <w:rPr>
                <w:b w:val="0"/>
                <w:sz w:val="18"/>
                <w:szCs w:val="18"/>
                <w:lang w:val="en-AU"/>
              </w:rPr>
            </w:pPr>
            <w:r w:rsidRPr="00B36618">
              <w:rPr>
                <w:sz w:val="18"/>
                <w:szCs w:val="18"/>
              </w:rPr>
              <w:t xml:space="preserve">Experiment: </w:t>
            </w:r>
            <w:r w:rsidRPr="00B36618">
              <w:rPr>
                <w:b w:val="0"/>
                <w:iCs/>
                <w:sz w:val="18"/>
                <w:szCs w:val="18"/>
              </w:rPr>
              <w:t>The number of beneficiary lives saved and improved through innovations that DFAT and iXc have supported.</w:t>
            </w:r>
          </w:p>
        </w:tc>
        <w:tc>
          <w:tcPr>
            <w:tcW w:w="7525" w:type="dxa"/>
          </w:tcPr>
          <w:p w14:paraId="37AA9BEB" w14:textId="5B2D8A26" w:rsidR="00B36618" w:rsidRPr="00620389" w:rsidRDefault="00D13B79" w:rsidP="009349B6">
            <w:pPr>
              <w:pStyle w:val="Default"/>
              <w:numPr>
                <w:ilvl w:val="0"/>
                <w:numId w:val="10"/>
              </w:numPr>
              <w:ind w:left="290" w:hanging="219"/>
              <w:jc w:val="both"/>
              <w:cnfStyle w:val="000000100000" w:firstRow="0" w:lastRow="0" w:firstColumn="0" w:lastColumn="0" w:oddVBand="0" w:evenVBand="0" w:oddHBand="1" w:evenHBand="0" w:firstRowFirstColumn="0" w:firstRowLastColumn="0" w:lastRowFirstColumn="0" w:lastRowLastColumn="0"/>
              <w:rPr>
                <w:bCs/>
                <w:sz w:val="18"/>
                <w:szCs w:val="18"/>
                <w:lang w:val="en-AU"/>
              </w:rPr>
            </w:pPr>
            <w:r>
              <w:rPr>
                <w:bCs/>
                <w:sz w:val="18"/>
                <w:szCs w:val="18"/>
                <w:lang w:val="en-AU"/>
              </w:rPr>
              <w:t xml:space="preserve">As </w:t>
            </w:r>
            <w:r w:rsidR="00B36618">
              <w:rPr>
                <w:bCs/>
                <w:sz w:val="18"/>
                <w:szCs w:val="18"/>
                <w:lang w:val="en-AU"/>
              </w:rPr>
              <w:t>a large number of</w:t>
            </w:r>
            <w:r w:rsidR="00B36618" w:rsidRPr="003F5E8A">
              <w:rPr>
                <w:bCs/>
                <w:sz w:val="18"/>
                <w:szCs w:val="18"/>
                <w:lang w:val="en-AU"/>
              </w:rPr>
              <w:t xml:space="preserve"> innovations supported by the iXc </w:t>
            </w:r>
            <w:r w:rsidR="00B36618">
              <w:rPr>
                <w:bCs/>
                <w:sz w:val="18"/>
                <w:szCs w:val="18"/>
                <w:lang w:val="en-AU"/>
              </w:rPr>
              <w:t>were</w:t>
            </w:r>
            <w:r w:rsidR="00B36618" w:rsidRPr="003F5E8A">
              <w:rPr>
                <w:bCs/>
                <w:sz w:val="18"/>
                <w:szCs w:val="18"/>
                <w:lang w:val="en-AU"/>
              </w:rPr>
              <w:t xml:space="preserve"> early</w:t>
            </w:r>
            <w:r w:rsidR="00FF279C">
              <w:rPr>
                <w:bCs/>
                <w:sz w:val="18"/>
                <w:szCs w:val="18"/>
                <w:lang w:val="en-AU"/>
              </w:rPr>
              <w:t xml:space="preserve"> </w:t>
            </w:r>
            <w:r w:rsidR="00B36618" w:rsidRPr="003F5E8A">
              <w:rPr>
                <w:bCs/>
                <w:sz w:val="18"/>
                <w:szCs w:val="18"/>
                <w:lang w:val="en-AU"/>
              </w:rPr>
              <w:t>stage programs or pilots</w:t>
            </w:r>
            <w:r w:rsidR="00B36618">
              <w:rPr>
                <w:bCs/>
                <w:sz w:val="18"/>
                <w:szCs w:val="18"/>
                <w:lang w:val="en-AU"/>
              </w:rPr>
              <w:t>, they were not able to</w:t>
            </w:r>
            <w:r w:rsidR="00B36618" w:rsidRPr="003F5E8A">
              <w:rPr>
                <w:bCs/>
                <w:sz w:val="18"/>
                <w:szCs w:val="18"/>
                <w:lang w:val="en-AU"/>
              </w:rPr>
              <w:t xml:space="preserve"> provide</w:t>
            </w:r>
            <w:r w:rsidR="00554867">
              <w:rPr>
                <w:bCs/>
                <w:sz w:val="18"/>
                <w:szCs w:val="18"/>
                <w:lang w:val="en-AU"/>
              </w:rPr>
              <w:t xml:space="preserve"> impact</w:t>
            </w:r>
            <w:r>
              <w:rPr>
                <w:bCs/>
                <w:sz w:val="18"/>
                <w:szCs w:val="18"/>
                <w:lang w:val="en-AU"/>
              </w:rPr>
              <w:t>-</w:t>
            </w:r>
            <w:r w:rsidR="00554867">
              <w:rPr>
                <w:bCs/>
                <w:sz w:val="18"/>
                <w:szCs w:val="18"/>
                <w:lang w:val="en-AU"/>
              </w:rPr>
              <w:t>level evidence</w:t>
            </w:r>
            <w:r>
              <w:rPr>
                <w:bCs/>
                <w:sz w:val="18"/>
                <w:szCs w:val="18"/>
                <w:lang w:val="en-AU"/>
              </w:rPr>
              <w:t xml:space="preserve"> even</w:t>
            </w:r>
            <w:r w:rsidR="00FF279C">
              <w:rPr>
                <w:bCs/>
                <w:sz w:val="18"/>
                <w:szCs w:val="18"/>
                <w:lang w:val="en-AU"/>
              </w:rPr>
              <w:t xml:space="preserve"> within</w:t>
            </w:r>
            <w:r>
              <w:rPr>
                <w:bCs/>
                <w:sz w:val="18"/>
                <w:szCs w:val="18"/>
                <w:lang w:val="en-AU"/>
              </w:rPr>
              <w:t xml:space="preserve"> a </w:t>
            </w:r>
            <w:r w:rsidR="00AA7D69">
              <w:rPr>
                <w:bCs/>
                <w:sz w:val="18"/>
                <w:szCs w:val="18"/>
                <w:lang w:val="en-AU"/>
              </w:rPr>
              <w:t>three-year</w:t>
            </w:r>
            <w:r>
              <w:rPr>
                <w:bCs/>
                <w:sz w:val="18"/>
                <w:szCs w:val="18"/>
                <w:lang w:val="en-AU"/>
              </w:rPr>
              <w:t xml:space="preserve"> timeframe</w:t>
            </w:r>
            <w:r w:rsidR="00554867">
              <w:rPr>
                <w:bCs/>
                <w:sz w:val="18"/>
                <w:szCs w:val="18"/>
                <w:lang w:val="en-AU"/>
              </w:rPr>
              <w:t>.</w:t>
            </w:r>
            <w:r w:rsidR="00620389" w:rsidRPr="003F5E8A">
              <w:rPr>
                <w:bCs/>
                <w:sz w:val="18"/>
                <w:szCs w:val="18"/>
                <w:lang w:val="en-AU"/>
              </w:rPr>
              <w:t xml:space="preserve"> </w:t>
            </w:r>
            <w:r w:rsidR="00554867">
              <w:rPr>
                <w:bCs/>
                <w:sz w:val="18"/>
                <w:szCs w:val="18"/>
                <w:lang w:val="en-AU"/>
              </w:rPr>
              <w:t>While early monitoring of these programs shows promise, t</w:t>
            </w:r>
            <w:r w:rsidR="00620389" w:rsidRPr="003F5E8A">
              <w:rPr>
                <w:bCs/>
                <w:sz w:val="18"/>
                <w:szCs w:val="18"/>
                <w:lang w:val="en-AU"/>
              </w:rPr>
              <w:t>he iXc should</w:t>
            </w:r>
            <w:r w:rsidR="00554867">
              <w:rPr>
                <w:bCs/>
                <w:sz w:val="18"/>
                <w:szCs w:val="18"/>
                <w:lang w:val="en-AU"/>
              </w:rPr>
              <w:t xml:space="preserve"> consider</w:t>
            </w:r>
            <w:r w:rsidR="00620389" w:rsidRPr="003F5E8A">
              <w:rPr>
                <w:bCs/>
                <w:sz w:val="18"/>
                <w:szCs w:val="18"/>
                <w:lang w:val="en-AU"/>
              </w:rPr>
              <w:t xml:space="preserve"> </w:t>
            </w:r>
            <w:r w:rsidR="00620389">
              <w:rPr>
                <w:bCs/>
                <w:sz w:val="18"/>
                <w:szCs w:val="18"/>
                <w:lang w:val="en-AU"/>
              </w:rPr>
              <w:t>focus</w:t>
            </w:r>
            <w:r w:rsidR="00554867">
              <w:rPr>
                <w:bCs/>
                <w:sz w:val="18"/>
                <w:szCs w:val="18"/>
                <w:lang w:val="en-AU"/>
              </w:rPr>
              <w:t>ing</w:t>
            </w:r>
            <w:r w:rsidR="00620389">
              <w:rPr>
                <w:bCs/>
                <w:sz w:val="18"/>
                <w:szCs w:val="18"/>
                <w:lang w:val="en-AU"/>
              </w:rPr>
              <w:t xml:space="preserve"> </w:t>
            </w:r>
            <w:r w:rsidR="00620389" w:rsidRPr="003F5E8A">
              <w:rPr>
                <w:bCs/>
                <w:sz w:val="18"/>
                <w:szCs w:val="18"/>
                <w:lang w:val="en-AU"/>
              </w:rPr>
              <w:t>analyses at the</w:t>
            </w:r>
            <w:r w:rsidR="00554867">
              <w:rPr>
                <w:bCs/>
                <w:sz w:val="18"/>
                <w:szCs w:val="18"/>
                <w:lang w:val="en-AU"/>
              </w:rPr>
              <w:t xml:space="preserve"> output and outcome levels for early</w:t>
            </w:r>
            <w:r w:rsidR="00FF279C">
              <w:rPr>
                <w:bCs/>
                <w:sz w:val="18"/>
                <w:szCs w:val="18"/>
                <w:lang w:val="en-AU"/>
              </w:rPr>
              <w:t xml:space="preserve"> </w:t>
            </w:r>
            <w:r w:rsidR="00554867">
              <w:rPr>
                <w:bCs/>
                <w:sz w:val="18"/>
                <w:szCs w:val="18"/>
                <w:lang w:val="en-AU"/>
              </w:rPr>
              <w:t>stage innovations</w:t>
            </w:r>
            <w:r w:rsidR="001F5A5F">
              <w:rPr>
                <w:bCs/>
                <w:sz w:val="18"/>
                <w:szCs w:val="18"/>
                <w:lang w:val="en-AU"/>
              </w:rPr>
              <w:t xml:space="preserve"> to develop a deeper understanding of progress </w:t>
            </w:r>
            <w:r w:rsidR="00D4435D">
              <w:rPr>
                <w:bCs/>
                <w:sz w:val="18"/>
                <w:szCs w:val="18"/>
                <w:lang w:val="en-AU"/>
              </w:rPr>
              <w:t>appropriate</w:t>
            </w:r>
            <w:r w:rsidR="001F5A5F">
              <w:rPr>
                <w:bCs/>
                <w:sz w:val="18"/>
                <w:szCs w:val="18"/>
                <w:lang w:val="en-AU"/>
              </w:rPr>
              <w:t xml:space="preserve"> to the stage of the scaling pathway. </w:t>
            </w:r>
          </w:p>
          <w:p w14:paraId="3B1CA6DB" w14:textId="46979243" w:rsidR="00B36618" w:rsidRPr="00620389" w:rsidRDefault="00B36618" w:rsidP="009349B6">
            <w:pPr>
              <w:pStyle w:val="Default"/>
              <w:numPr>
                <w:ilvl w:val="0"/>
                <w:numId w:val="10"/>
              </w:numPr>
              <w:ind w:left="290" w:hanging="219"/>
              <w:jc w:val="both"/>
              <w:cnfStyle w:val="000000100000" w:firstRow="0" w:lastRow="0" w:firstColumn="0" w:lastColumn="0" w:oddVBand="0" w:evenVBand="0" w:oddHBand="1" w:evenHBand="0" w:firstRowFirstColumn="0" w:firstRowLastColumn="0" w:lastRowFirstColumn="0" w:lastRowLastColumn="0"/>
              <w:rPr>
                <w:bCs/>
                <w:sz w:val="18"/>
                <w:szCs w:val="18"/>
                <w:lang w:val="en-AU"/>
              </w:rPr>
            </w:pPr>
            <w:r>
              <w:rPr>
                <w:bCs/>
                <w:sz w:val="18"/>
                <w:szCs w:val="18"/>
                <w:lang w:val="en-AU"/>
              </w:rPr>
              <w:t>F</w:t>
            </w:r>
            <w:r w:rsidRPr="003F5E8A">
              <w:rPr>
                <w:bCs/>
                <w:sz w:val="18"/>
                <w:szCs w:val="18"/>
                <w:lang w:val="en-AU"/>
              </w:rPr>
              <w:t xml:space="preserve">or many innovations, such as </w:t>
            </w:r>
            <w:hyperlink r:id="rId73" w:history="1">
              <w:r w:rsidRPr="000C6A41">
                <w:rPr>
                  <w:rStyle w:val="Hyperlink"/>
                  <w:bCs/>
                  <w:sz w:val="18"/>
                  <w:szCs w:val="18"/>
                  <w:lang w:val="en-AU"/>
                </w:rPr>
                <w:t>Tupaia</w:t>
              </w:r>
            </w:hyperlink>
            <w:r w:rsidRPr="003F5E8A">
              <w:rPr>
                <w:bCs/>
                <w:sz w:val="18"/>
                <w:szCs w:val="18"/>
                <w:lang w:val="en-AU"/>
              </w:rPr>
              <w:t>, there is a “long” Theory of Change between the activities being implemented (e.g. creating a digital map) and lives saved</w:t>
            </w:r>
            <w:r>
              <w:rPr>
                <w:bCs/>
                <w:sz w:val="18"/>
                <w:szCs w:val="18"/>
                <w:lang w:val="en-AU"/>
              </w:rPr>
              <w:t>.</w:t>
            </w:r>
            <w:r w:rsidR="00620389">
              <w:rPr>
                <w:bCs/>
                <w:sz w:val="18"/>
                <w:szCs w:val="18"/>
                <w:lang w:val="en-AU"/>
              </w:rPr>
              <w:t xml:space="preserve"> </w:t>
            </w:r>
            <w:r w:rsidRPr="00620389">
              <w:rPr>
                <w:bCs/>
                <w:sz w:val="18"/>
                <w:szCs w:val="18"/>
                <w:lang w:val="en-AU"/>
              </w:rPr>
              <w:t>Greater clarity around attribution is required at the impact level.</w:t>
            </w:r>
          </w:p>
        </w:tc>
      </w:tr>
      <w:tr w:rsidR="00B36618" w:rsidRPr="003F5E8A" w14:paraId="6F8938F7" w14:textId="6A2B6C36" w:rsidTr="00B36618">
        <w:tc>
          <w:tcPr>
            <w:cnfStyle w:val="001000000000" w:firstRow="0" w:lastRow="0" w:firstColumn="1" w:lastColumn="0" w:oddVBand="0" w:evenVBand="0" w:oddHBand="0" w:evenHBand="0" w:firstRowFirstColumn="0" w:firstRowLastColumn="0" w:lastRowFirstColumn="0" w:lastRowLastColumn="0"/>
            <w:tcW w:w="1830" w:type="dxa"/>
          </w:tcPr>
          <w:p w14:paraId="6218E154" w14:textId="7D90D239" w:rsidR="00B36618" w:rsidRPr="003F5E8A" w:rsidRDefault="00B36618" w:rsidP="00AC2762">
            <w:pPr>
              <w:pStyle w:val="Default"/>
              <w:rPr>
                <w:b w:val="0"/>
                <w:sz w:val="18"/>
                <w:szCs w:val="18"/>
              </w:rPr>
            </w:pPr>
            <w:r w:rsidRPr="003F5E8A">
              <w:rPr>
                <w:bCs w:val="0"/>
                <w:sz w:val="18"/>
                <w:szCs w:val="18"/>
              </w:rPr>
              <w:t>Partner:</w:t>
            </w:r>
            <w:r w:rsidRPr="003F5E8A">
              <w:rPr>
                <w:b w:val="0"/>
                <w:bCs w:val="0"/>
                <w:sz w:val="18"/>
                <w:szCs w:val="18"/>
              </w:rPr>
              <w:t xml:space="preserve"> </w:t>
            </w:r>
            <w:r w:rsidRPr="003F5E8A">
              <w:rPr>
                <w:b w:val="0"/>
                <w:iCs/>
                <w:sz w:val="18"/>
                <w:szCs w:val="18"/>
              </w:rPr>
              <w:t>The funding from DFAT and other external parties that the iXc has attracted to support scaling innovations or innovative aid practices</w:t>
            </w:r>
            <w:r>
              <w:rPr>
                <w:b w:val="0"/>
                <w:iCs/>
                <w:sz w:val="18"/>
                <w:szCs w:val="18"/>
              </w:rPr>
              <w:t>.</w:t>
            </w:r>
          </w:p>
        </w:tc>
        <w:tc>
          <w:tcPr>
            <w:tcW w:w="7525" w:type="dxa"/>
          </w:tcPr>
          <w:p w14:paraId="43CE6BE8" w14:textId="0A8EC7D7" w:rsidR="00B36618" w:rsidRDefault="00B36618" w:rsidP="009349B6">
            <w:pPr>
              <w:pStyle w:val="Default"/>
              <w:numPr>
                <w:ilvl w:val="0"/>
                <w:numId w:val="10"/>
              </w:numPr>
              <w:ind w:left="290" w:hanging="219"/>
              <w:jc w:val="both"/>
              <w:cnfStyle w:val="000000000000" w:firstRow="0" w:lastRow="0" w:firstColumn="0" w:lastColumn="0" w:oddVBand="0" w:evenVBand="0" w:oddHBand="0" w:evenHBand="0" w:firstRowFirstColumn="0" w:firstRowLastColumn="0" w:lastRowFirstColumn="0" w:lastRowLastColumn="0"/>
              <w:rPr>
                <w:bCs/>
                <w:sz w:val="18"/>
                <w:szCs w:val="18"/>
                <w:lang w:val="en-AU"/>
              </w:rPr>
            </w:pPr>
            <w:r w:rsidRPr="001B2425">
              <w:rPr>
                <w:bCs/>
                <w:sz w:val="18"/>
                <w:szCs w:val="18"/>
                <w:lang w:val="en-AU"/>
              </w:rPr>
              <w:t xml:space="preserve">Headline co-funding figures must be caveated to consider the challenge of truly ‘leveraging’ additional funds. Leveraged funds should ‘amplify’ the initial investment, but funds raised from partners may have gone to the same initiative regardless and/or may </w:t>
            </w:r>
            <w:r w:rsidR="00FF279C">
              <w:rPr>
                <w:bCs/>
                <w:sz w:val="18"/>
                <w:szCs w:val="18"/>
                <w:lang w:val="en-AU"/>
              </w:rPr>
              <w:t xml:space="preserve">have </w:t>
            </w:r>
            <w:r w:rsidRPr="001B2425">
              <w:rPr>
                <w:bCs/>
                <w:sz w:val="18"/>
                <w:szCs w:val="18"/>
                <w:lang w:val="en-AU"/>
              </w:rPr>
              <w:t>expand</w:t>
            </w:r>
            <w:r w:rsidR="00FF279C">
              <w:rPr>
                <w:bCs/>
                <w:sz w:val="18"/>
                <w:szCs w:val="18"/>
                <w:lang w:val="en-AU"/>
              </w:rPr>
              <w:t>ed</w:t>
            </w:r>
            <w:r w:rsidRPr="001B2425">
              <w:rPr>
                <w:bCs/>
                <w:sz w:val="18"/>
                <w:szCs w:val="18"/>
                <w:lang w:val="en-AU"/>
              </w:rPr>
              <w:t xml:space="preserve"> the scope of the investment to geographies not initially part of the design.</w:t>
            </w:r>
          </w:p>
          <w:p w14:paraId="29F3E8D1" w14:textId="5F86A84F" w:rsidR="00B36618" w:rsidRPr="005F319E" w:rsidRDefault="00B36618" w:rsidP="009349B6">
            <w:pPr>
              <w:pStyle w:val="Default"/>
              <w:numPr>
                <w:ilvl w:val="0"/>
                <w:numId w:val="10"/>
              </w:numPr>
              <w:ind w:left="290" w:hanging="219"/>
              <w:jc w:val="both"/>
              <w:cnfStyle w:val="000000000000" w:firstRow="0" w:lastRow="0" w:firstColumn="0" w:lastColumn="0" w:oddVBand="0" w:evenVBand="0" w:oddHBand="0" w:evenHBand="0" w:firstRowFirstColumn="0" w:firstRowLastColumn="0" w:lastRowFirstColumn="0" w:lastRowLastColumn="0"/>
              <w:rPr>
                <w:bCs/>
                <w:sz w:val="18"/>
                <w:szCs w:val="18"/>
                <w:lang w:val="en-AU"/>
              </w:rPr>
            </w:pPr>
            <w:r w:rsidRPr="000E7B2C">
              <w:rPr>
                <w:bCs/>
                <w:sz w:val="18"/>
                <w:szCs w:val="18"/>
                <w:lang w:val="en-AU"/>
              </w:rPr>
              <w:t xml:space="preserve">DFAT </w:t>
            </w:r>
            <w:r>
              <w:rPr>
                <w:bCs/>
                <w:sz w:val="18"/>
                <w:szCs w:val="18"/>
                <w:lang w:val="en-AU"/>
              </w:rPr>
              <w:t xml:space="preserve">should look beyond investment figures and aim to develop more a more nuanced approach to </w:t>
            </w:r>
            <w:r w:rsidRPr="000E7B2C">
              <w:rPr>
                <w:bCs/>
                <w:sz w:val="18"/>
                <w:szCs w:val="18"/>
                <w:lang w:val="en-AU"/>
              </w:rPr>
              <w:t>measur</w:t>
            </w:r>
            <w:r>
              <w:rPr>
                <w:bCs/>
                <w:sz w:val="18"/>
                <w:szCs w:val="18"/>
                <w:lang w:val="en-AU"/>
              </w:rPr>
              <w:t>ing</w:t>
            </w:r>
            <w:r w:rsidRPr="000E7B2C">
              <w:rPr>
                <w:bCs/>
                <w:sz w:val="18"/>
                <w:szCs w:val="18"/>
                <w:lang w:val="en-AU"/>
              </w:rPr>
              <w:t xml:space="preserve"> the </w:t>
            </w:r>
            <w:r>
              <w:rPr>
                <w:bCs/>
                <w:sz w:val="18"/>
                <w:szCs w:val="18"/>
                <w:lang w:val="en-AU"/>
              </w:rPr>
              <w:t>effectiveness of</w:t>
            </w:r>
            <w:r w:rsidRPr="000E7B2C">
              <w:rPr>
                <w:bCs/>
                <w:sz w:val="18"/>
                <w:szCs w:val="18"/>
                <w:lang w:val="en-AU"/>
              </w:rPr>
              <w:t xml:space="preserve"> partnerships</w:t>
            </w:r>
            <w:r w:rsidR="007665D2">
              <w:rPr>
                <w:bCs/>
                <w:sz w:val="18"/>
                <w:szCs w:val="18"/>
                <w:lang w:val="en-AU"/>
              </w:rPr>
              <w:t>, including qualitative indicators.</w:t>
            </w:r>
          </w:p>
        </w:tc>
      </w:tr>
      <w:tr w:rsidR="00B36618" w:rsidRPr="003F5E8A" w14:paraId="118C7574" w14:textId="1010E81D" w:rsidTr="00B366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7E5B59AE" w14:textId="77777777" w:rsidR="00B36618" w:rsidRPr="003F5E8A" w:rsidRDefault="00B36618" w:rsidP="00AC2762">
            <w:pPr>
              <w:pStyle w:val="Default"/>
              <w:spacing w:after="80"/>
              <w:rPr>
                <w:b w:val="0"/>
                <w:sz w:val="18"/>
                <w:szCs w:val="18"/>
              </w:rPr>
            </w:pPr>
            <w:r w:rsidRPr="003F5E8A">
              <w:rPr>
                <w:bCs w:val="0"/>
                <w:sz w:val="18"/>
                <w:szCs w:val="18"/>
              </w:rPr>
              <w:t>Learn:</w:t>
            </w:r>
            <w:r w:rsidRPr="003F5E8A">
              <w:rPr>
                <w:b w:val="0"/>
                <w:bCs w:val="0"/>
                <w:sz w:val="18"/>
                <w:szCs w:val="18"/>
              </w:rPr>
              <w:t xml:space="preserve"> </w:t>
            </w:r>
            <w:r w:rsidRPr="003F5E8A">
              <w:rPr>
                <w:b w:val="0"/>
                <w:iCs/>
                <w:sz w:val="18"/>
                <w:szCs w:val="18"/>
              </w:rPr>
              <w:t>The take-up and replication of iXc-promoted innovative practices within the Australian aid program.</w:t>
            </w:r>
          </w:p>
        </w:tc>
        <w:tc>
          <w:tcPr>
            <w:tcW w:w="7525" w:type="dxa"/>
          </w:tcPr>
          <w:p w14:paraId="7C8D1C1B" w14:textId="33B439C1" w:rsidR="00330D96" w:rsidRDefault="00B36618" w:rsidP="009349B6">
            <w:pPr>
              <w:pStyle w:val="Default"/>
              <w:numPr>
                <w:ilvl w:val="0"/>
                <w:numId w:val="10"/>
              </w:numPr>
              <w:ind w:left="290" w:hanging="219"/>
              <w:jc w:val="both"/>
              <w:cnfStyle w:val="000000100000" w:firstRow="0" w:lastRow="0" w:firstColumn="0" w:lastColumn="0" w:oddVBand="0" w:evenVBand="0" w:oddHBand="1" w:evenHBand="0" w:firstRowFirstColumn="0" w:firstRowLastColumn="0" w:lastRowFirstColumn="0" w:lastRowLastColumn="0"/>
              <w:rPr>
                <w:bCs/>
                <w:sz w:val="18"/>
                <w:szCs w:val="18"/>
                <w:lang w:val="en-AU"/>
              </w:rPr>
            </w:pPr>
            <w:r w:rsidRPr="001B2425">
              <w:rPr>
                <w:bCs/>
                <w:sz w:val="18"/>
                <w:szCs w:val="18"/>
                <w:lang w:val="en-AU"/>
              </w:rPr>
              <w:t>While a significant number of activities have been undertaken (particularly on sensitizing DFAT to innovation culture and practices), it has been a challenge to track exactly what work within DFAT is determined as ‘innovative’, and for the iXc to engage with those initiatives early on.</w:t>
            </w:r>
          </w:p>
          <w:p w14:paraId="22640342" w14:textId="46C7DD99" w:rsidR="00B36618" w:rsidRPr="005F319E" w:rsidRDefault="00330D96" w:rsidP="009349B6">
            <w:pPr>
              <w:pStyle w:val="Default"/>
              <w:numPr>
                <w:ilvl w:val="0"/>
                <w:numId w:val="10"/>
              </w:numPr>
              <w:ind w:left="290" w:hanging="219"/>
              <w:jc w:val="both"/>
              <w:cnfStyle w:val="000000100000" w:firstRow="0" w:lastRow="0" w:firstColumn="0" w:lastColumn="0" w:oddVBand="0" w:evenVBand="0" w:oddHBand="1" w:evenHBand="0" w:firstRowFirstColumn="0" w:firstRowLastColumn="0" w:lastRowFirstColumn="0" w:lastRowLastColumn="0"/>
              <w:rPr>
                <w:bCs/>
                <w:sz w:val="18"/>
                <w:szCs w:val="18"/>
                <w:lang w:val="en-AU"/>
              </w:rPr>
            </w:pPr>
            <w:r>
              <w:rPr>
                <w:bCs/>
                <w:sz w:val="18"/>
                <w:szCs w:val="18"/>
                <w:lang w:val="en-AU"/>
              </w:rPr>
              <w:t>I</w:t>
            </w:r>
            <w:r w:rsidR="00B36618" w:rsidRPr="001B2425">
              <w:rPr>
                <w:bCs/>
                <w:sz w:val="18"/>
                <w:szCs w:val="18"/>
                <w:lang w:val="en-AU"/>
              </w:rPr>
              <w:t>t was suggested that a new system be introduced for the annual self-assessment process which would facilitate the iXc engaging with innovative programs at their outset, and which would support easier tracking towards this indicator.</w:t>
            </w:r>
          </w:p>
        </w:tc>
      </w:tr>
    </w:tbl>
    <w:p w14:paraId="5AE503F9" w14:textId="7DF8589C" w:rsidR="00F1529C" w:rsidRDefault="00CB114A" w:rsidP="001F2786">
      <w:pPr>
        <w:spacing w:after="80"/>
        <w:jc w:val="both"/>
        <w:rPr>
          <w:rFonts w:eastAsia="Times New Roman" w:cs="Times New Roman"/>
          <w:b/>
          <w:i/>
          <w:color w:val="572181" w:themeColor="accent3"/>
          <w:sz w:val="18"/>
          <w:szCs w:val="18"/>
          <w:lang w:val="en-AU"/>
        </w:rPr>
      </w:pPr>
      <w:r w:rsidRPr="00CB114A">
        <w:rPr>
          <w:rFonts w:eastAsia="Times New Roman" w:cs="Times New Roman"/>
          <w:b/>
          <w:i/>
          <w:color w:val="572181" w:themeColor="accent3"/>
          <w:sz w:val="18"/>
          <w:szCs w:val="18"/>
          <w:lang w:val="en-AU"/>
        </w:rPr>
        <w:t xml:space="preserve">Figure </w:t>
      </w:r>
      <w:r w:rsidR="007F27C4">
        <w:rPr>
          <w:rFonts w:eastAsia="Times New Roman" w:cs="Times New Roman"/>
          <w:b/>
          <w:i/>
          <w:color w:val="572181" w:themeColor="accent3"/>
          <w:sz w:val="18"/>
          <w:szCs w:val="18"/>
          <w:lang w:val="en-AU"/>
        </w:rPr>
        <w:t>5</w:t>
      </w:r>
      <w:r w:rsidRPr="00CB114A">
        <w:rPr>
          <w:rFonts w:eastAsia="Times New Roman" w:cs="Times New Roman"/>
          <w:b/>
          <w:i/>
          <w:color w:val="572181" w:themeColor="accent3"/>
          <w:sz w:val="18"/>
          <w:szCs w:val="18"/>
          <w:lang w:val="en-AU"/>
        </w:rPr>
        <w:t>: 2017 Results Framework – headline indicators</w:t>
      </w:r>
    </w:p>
    <w:p w14:paraId="01A1B2FD" w14:textId="19B73385" w:rsidR="00CF4C46" w:rsidRPr="00157C91" w:rsidRDefault="00DE1994" w:rsidP="001F2786">
      <w:pPr>
        <w:spacing w:after="80"/>
        <w:jc w:val="both"/>
        <w:rPr>
          <w:rFonts w:ascii="Calibri" w:eastAsia="Times New Roman" w:hAnsi="Calibri" w:cs="Times New Roman"/>
          <w:sz w:val="20"/>
          <w:szCs w:val="20"/>
          <w:lang w:val="en-AU"/>
        </w:rPr>
      </w:pPr>
      <w:r w:rsidRPr="00157C91">
        <w:rPr>
          <w:rFonts w:ascii="Calibri" w:hAnsi="Calibri"/>
          <w:sz w:val="20"/>
          <w:szCs w:val="20"/>
          <w:lang w:val="en-AU"/>
        </w:rPr>
        <w:t>This is just a small part of the s</w:t>
      </w:r>
      <w:r w:rsidR="0000292C" w:rsidRPr="00157C91">
        <w:rPr>
          <w:rFonts w:ascii="Calibri" w:hAnsi="Calibri"/>
          <w:sz w:val="20"/>
          <w:szCs w:val="20"/>
          <w:lang w:val="en-AU"/>
        </w:rPr>
        <w:t>ignificant</w:t>
      </w:r>
      <w:r w:rsidR="002B40BA" w:rsidRPr="00157C91">
        <w:rPr>
          <w:rFonts w:ascii="Calibri" w:hAnsi="Calibri"/>
          <w:sz w:val="20"/>
          <w:szCs w:val="20"/>
          <w:lang w:val="en-AU"/>
        </w:rPr>
        <w:t xml:space="preserve"> learning </w:t>
      </w:r>
      <w:r w:rsidRPr="00157C91">
        <w:rPr>
          <w:rFonts w:ascii="Calibri" w:hAnsi="Calibri"/>
          <w:sz w:val="20"/>
          <w:szCs w:val="20"/>
          <w:lang w:val="en-AU"/>
        </w:rPr>
        <w:t xml:space="preserve">that </w:t>
      </w:r>
      <w:r w:rsidR="002B40BA" w:rsidRPr="00157C91">
        <w:rPr>
          <w:rFonts w:ascii="Calibri" w:hAnsi="Calibri"/>
          <w:sz w:val="20"/>
          <w:szCs w:val="20"/>
          <w:lang w:val="en-AU"/>
        </w:rPr>
        <w:t xml:space="preserve">has been generated around results measurement in the iXc’s first three years of operation. </w:t>
      </w:r>
      <w:r w:rsidR="00DB6F67" w:rsidRPr="00157C91">
        <w:rPr>
          <w:rFonts w:ascii="Calibri" w:hAnsi="Calibri"/>
          <w:sz w:val="20"/>
          <w:szCs w:val="20"/>
          <w:lang w:val="en-AU"/>
        </w:rPr>
        <w:t xml:space="preserve">The iXc has trialled a number of approaches to implementing evaluation activities, including asking partners to self-report impact </w:t>
      </w:r>
      <w:r w:rsidR="003B2DF3" w:rsidRPr="00157C91">
        <w:rPr>
          <w:rFonts w:ascii="Calibri" w:hAnsi="Calibri"/>
          <w:sz w:val="20"/>
          <w:szCs w:val="20"/>
          <w:lang w:val="en-AU"/>
        </w:rPr>
        <w:t>metrics</w:t>
      </w:r>
      <w:r w:rsidR="0063491E" w:rsidRPr="00157C91">
        <w:rPr>
          <w:rFonts w:ascii="Calibri" w:hAnsi="Calibri"/>
          <w:sz w:val="20"/>
          <w:szCs w:val="20"/>
          <w:lang w:val="en-AU"/>
        </w:rPr>
        <w:t>,</w:t>
      </w:r>
      <w:r w:rsidR="00DB6F67" w:rsidRPr="00157C91">
        <w:rPr>
          <w:rFonts w:ascii="Calibri" w:hAnsi="Calibri"/>
          <w:sz w:val="20"/>
          <w:szCs w:val="20"/>
          <w:lang w:val="en-AU"/>
        </w:rPr>
        <w:t xml:space="preserve"> </w:t>
      </w:r>
      <w:r w:rsidR="008F612E" w:rsidRPr="00157C91">
        <w:rPr>
          <w:rFonts w:ascii="Calibri" w:hAnsi="Calibri"/>
          <w:sz w:val="20"/>
          <w:szCs w:val="20"/>
          <w:lang w:val="en-AU"/>
        </w:rPr>
        <w:t>conducting portfolio analyses</w:t>
      </w:r>
      <w:r w:rsidR="0063491E" w:rsidRPr="00157C91">
        <w:rPr>
          <w:rFonts w:ascii="Calibri" w:hAnsi="Calibri"/>
          <w:sz w:val="20"/>
          <w:szCs w:val="20"/>
          <w:lang w:val="en-AU"/>
        </w:rPr>
        <w:t>, and learning from new approaches to measuring the impact potential of innovations, such as the Practical Impact Assessment tool being developed by GIF</w:t>
      </w:r>
      <w:r w:rsidR="008F612E" w:rsidRPr="00157C91">
        <w:rPr>
          <w:rFonts w:ascii="Calibri" w:hAnsi="Calibri"/>
          <w:sz w:val="20"/>
          <w:szCs w:val="20"/>
          <w:lang w:val="en-AU"/>
        </w:rPr>
        <w:t>.</w:t>
      </w:r>
      <w:r w:rsidR="00DB6F67" w:rsidRPr="00157C91">
        <w:rPr>
          <w:rFonts w:ascii="Calibri" w:hAnsi="Calibri"/>
          <w:sz w:val="20"/>
          <w:szCs w:val="20"/>
          <w:lang w:val="en-AU"/>
        </w:rPr>
        <w:t xml:space="preserve"> </w:t>
      </w:r>
      <w:r w:rsidR="002B40BA" w:rsidRPr="00157C91">
        <w:rPr>
          <w:rFonts w:ascii="Calibri" w:hAnsi="Calibri"/>
          <w:sz w:val="20"/>
          <w:szCs w:val="20"/>
          <w:lang w:val="en-AU"/>
        </w:rPr>
        <w:t xml:space="preserve">The team </w:t>
      </w:r>
      <w:r w:rsidRPr="00157C91">
        <w:rPr>
          <w:rFonts w:ascii="Calibri" w:hAnsi="Calibri"/>
          <w:sz w:val="20"/>
          <w:szCs w:val="20"/>
          <w:lang w:val="en-AU"/>
        </w:rPr>
        <w:t xml:space="preserve">has also </w:t>
      </w:r>
      <w:r w:rsidR="002B40BA" w:rsidRPr="00157C91">
        <w:rPr>
          <w:rFonts w:ascii="Calibri" w:hAnsi="Calibri"/>
          <w:sz w:val="20"/>
          <w:szCs w:val="20"/>
          <w:lang w:val="en-AU"/>
        </w:rPr>
        <w:t>demonstrate</w:t>
      </w:r>
      <w:r w:rsidRPr="00157C91">
        <w:rPr>
          <w:rFonts w:ascii="Calibri" w:hAnsi="Calibri"/>
          <w:sz w:val="20"/>
          <w:szCs w:val="20"/>
          <w:lang w:val="en-AU"/>
        </w:rPr>
        <w:t>d</w:t>
      </w:r>
      <w:r w:rsidR="002B40BA" w:rsidRPr="00157C91">
        <w:rPr>
          <w:rFonts w:ascii="Calibri" w:hAnsi="Calibri"/>
          <w:sz w:val="20"/>
          <w:szCs w:val="20"/>
          <w:lang w:val="en-AU"/>
        </w:rPr>
        <w:t xml:space="preserve"> a </w:t>
      </w:r>
      <w:r w:rsidRPr="00157C91">
        <w:rPr>
          <w:rFonts w:ascii="Calibri" w:hAnsi="Calibri"/>
          <w:sz w:val="20"/>
          <w:szCs w:val="20"/>
          <w:lang w:val="en-AU"/>
        </w:rPr>
        <w:t>strong</w:t>
      </w:r>
      <w:r w:rsidR="002B40BA" w:rsidRPr="00157C91">
        <w:rPr>
          <w:rFonts w:ascii="Calibri" w:hAnsi="Calibri"/>
          <w:sz w:val="20"/>
          <w:szCs w:val="20"/>
          <w:lang w:val="en-AU"/>
        </w:rPr>
        <w:t xml:space="preserve"> commitment to</w:t>
      </w:r>
      <w:r w:rsidR="002B40BA" w:rsidRPr="00157C91">
        <w:rPr>
          <w:rFonts w:ascii="Calibri" w:eastAsia="Times New Roman" w:hAnsi="Calibri" w:cs="Times New Roman"/>
          <w:color w:val="000000"/>
          <w:sz w:val="20"/>
          <w:szCs w:val="20"/>
          <w:lang w:val="en-AU"/>
        </w:rPr>
        <w:t xml:space="preserve"> </w:t>
      </w:r>
      <w:r w:rsidR="002B40BA" w:rsidRPr="00157C91">
        <w:rPr>
          <w:rFonts w:ascii="Calibri" w:eastAsia="Times New Roman" w:hAnsi="Calibri" w:cs="Times New Roman"/>
          <w:b/>
          <w:color w:val="000000"/>
          <w:sz w:val="20"/>
          <w:szCs w:val="20"/>
          <w:lang w:val="en-AU"/>
        </w:rPr>
        <w:t xml:space="preserve">measuring success in a more structured way </w:t>
      </w:r>
      <w:r w:rsidR="002B40BA" w:rsidRPr="00157C91">
        <w:rPr>
          <w:rFonts w:ascii="Calibri" w:eastAsia="Times New Roman" w:hAnsi="Calibri" w:cs="Times New Roman"/>
          <w:color w:val="000000"/>
          <w:sz w:val="20"/>
          <w:szCs w:val="20"/>
          <w:lang w:val="en-AU"/>
        </w:rPr>
        <w:t>moving forward, drawing on</w:t>
      </w:r>
      <w:r w:rsidR="00561D55" w:rsidRPr="00157C91">
        <w:rPr>
          <w:rFonts w:ascii="Calibri" w:eastAsia="Times New Roman" w:hAnsi="Calibri" w:cs="Times New Roman"/>
          <w:color w:val="000000"/>
          <w:sz w:val="20"/>
          <w:szCs w:val="20"/>
          <w:lang w:val="en-AU"/>
        </w:rPr>
        <w:t xml:space="preserve"> – and indeed contributing to – a growing body of</w:t>
      </w:r>
      <w:r w:rsidR="002B40BA" w:rsidRPr="00157C91">
        <w:rPr>
          <w:rFonts w:ascii="Calibri" w:eastAsia="Times New Roman" w:hAnsi="Calibri" w:cs="Times New Roman"/>
          <w:color w:val="000000"/>
          <w:sz w:val="20"/>
          <w:szCs w:val="20"/>
          <w:lang w:val="en-AU"/>
        </w:rPr>
        <w:t xml:space="preserve"> knowledge and experience from similarly situated innovation groups</w:t>
      </w:r>
      <w:r w:rsidR="00827852" w:rsidRPr="00157C91">
        <w:rPr>
          <w:rFonts w:ascii="Calibri" w:eastAsia="Times New Roman" w:hAnsi="Calibri" w:cs="Times New Roman"/>
          <w:color w:val="000000"/>
          <w:sz w:val="20"/>
          <w:szCs w:val="20"/>
          <w:lang w:val="en-AU"/>
        </w:rPr>
        <w:t xml:space="preserve">, such as the </w:t>
      </w:r>
      <w:hyperlink r:id="rId74" w:history="1">
        <w:r w:rsidR="00827852" w:rsidRPr="00157C91">
          <w:rPr>
            <w:rStyle w:val="Hyperlink"/>
            <w:rFonts w:ascii="Calibri" w:eastAsia="Times New Roman" w:hAnsi="Calibri" w:cs="Times New Roman"/>
            <w:sz w:val="20"/>
            <w:szCs w:val="20"/>
            <w:lang w:val="en-AU"/>
          </w:rPr>
          <w:t>Australian Public Sector Innovation Network</w:t>
        </w:r>
      </w:hyperlink>
      <w:r w:rsidR="0063491E" w:rsidRPr="00157C91">
        <w:rPr>
          <w:rFonts w:ascii="Calibri" w:eastAsia="Times New Roman" w:hAnsi="Calibri" w:cs="Times New Roman"/>
          <w:color w:val="000000"/>
          <w:sz w:val="20"/>
          <w:szCs w:val="20"/>
          <w:lang w:val="en-AU"/>
        </w:rPr>
        <w:t xml:space="preserve">, </w:t>
      </w:r>
      <w:r w:rsidRPr="00157C91">
        <w:rPr>
          <w:rFonts w:ascii="Calibri" w:eastAsia="Times New Roman" w:hAnsi="Calibri" w:cs="Times New Roman"/>
          <w:color w:val="000000"/>
          <w:sz w:val="20"/>
          <w:szCs w:val="20"/>
          <w:lang w:val="en-AU"/>
        </w:rPr>
        <w:t xml:space="preserve">the </w:t>
      </w:r>
      <w:hyperlink r:id="rId75" w:history="1">
        <w:r w:rsidR="00305877" w:rsidRPr="00157C91">
          <w:rPr>
            <w:rStyle w:val="Hyperlink"/>
            <w:rFonts w:ascii="Calibri" w:eastAsia="Times New Roman" w:hAnsi="Calibri" w:cs="Times New Roman"/>
            <w:sz w:val="20"/>
            <w:szCs w:val="20"/>
            <w:lang w:val="en-AU"/>
          </w:rPr>
          <w:t>I</w:t>
        </w:r>
        <w:r w:rsidRPr="00157C91">
          <w:rPr>
            <w:rStyle w:val="Hyperlink"/>
            <w:rFonts w:ascii="Calibri" w:eastAsia="Times New Roman" w:hAnsi="Calibri" w:cs="Times New Roman"/>
            <w:sz w:val="20"/>
            <w:szCs w:val="20"/>
            <w:lang w:val="en-AU"/>
          </w:rPr>
          <w:t xml:space="preserve">nternational </w:t>
        </w:r>
        <w:r w:rsidR="00305877" w:rsidRPr="00157C91">
          <w:rPr>
            <w:rStyle w:val="Hyperlink"/>
            <w:rFonts w:ascii="Calibri" w:eastAsia="Times New Roman" w:hAnsi="Calibri" w:cs="Times New Roman"/>
            <w:sz w:val="20"/>
            <w:szCs w:val="20"/>
            <w:lang w:val="en-AU"/>
          </w:rPr>
          <w:t>D</w:t>
        </w:r>
        <w:r w:rsidRPr="00157C91">
          <w:rPr>
            <w:rStyle w:val="Hyperlink"/>
            <w:rFonts w:ascii="Calibri" w:eastAsia="Times New Roman" w:hAnsi="Calibri" w:cs="Times New Roman"/>
            <w:sz w:val="20"/>
            <w:szCs w:val="20"/>
            <w:lang w:val="en-AU"/>
          </w:rPr>
          <w:t xml:space="preserve">evelopment </w:t>
        </w:r>
        <w:r w:rsidR="00305877" w:rsidRPr="00157C91">
          <w:rPr>
            <w:rStyle w:val="Hyperlink"/>
            <w:rFonts w:ascii="Calibri" w:eastAsia="Times New Roman" w:hAnsi="Calibri" w:cs="Times New Roman"/>
            <w:sz w:val="20"/>
            <w:szCs w:val="20"/>
            <w:lang w:val="en-AU"/>
          </w:rPr>
          <w:t>I</w:t>
        </w:r>
        <w:r w:rsidRPr="00157C91">
          <w:rPr>
            <w:rStyle w:val="Hyperlink"/>
            <w:rFonts w:ascii="Calibri" w:eastAsia="Times New Roman" w:hAnsi="Calibri" w:cs="Times New Roman"/>
            <w:sz w:val="20"/>
            <w:szCs w:val="20"/>
            <w:lang w:val="en-AU"/>
          </w:rPr>
          <w:t xml:space="preserve">nnovation </w:t>
        </w:r>
        <w:r w:rsidR="00305877" w:rsidRPr="00157C91">
          <w:rPr>
            <w:rStyle w:val="Hyperlink"/>
            <w:rFonts w:ascii="Calibri" w:eastAsia="Times New Roman" w:hAnsi="Calibri" w:cs="Times New Roman"/>
            <w:sz w:val="20"/>
            <w:szCs w:val="20"/>
            <w:lang w:val="en-AU"/>
          </w:rPr>
          <w:t>A</w:t>
        </w:r>
        <w:r w:rsidRPr="00157C91">
          <w:rPr>
            <w:rStyle w:val="Hyperlink"/>
            <w:rFonts w:ascii="Calibri" w:eastAsia="Times New Roman" w:hAnsi="Calibri" w:cs="Times New Roman"/>
            <w:sz w:val="20"/>
            <w:szCs w:val="20"/>
            <w:lang w:val="en-AU"/>
          </w:rPr>
          <w:t>lliance</w:t>
        </w:r>
      </w:hyperlink>
      <w:r w:rsidRPr="00157C91">
        <w:rPr>
          <w:rFonts w:ascii="Calibri" w:eastAsia="Times New Roman" w:hAnsi="Calibri" w:cs="Times New Roman"/>
          <w:color w:val="000000"/>
          <w:sz w:val="20"/>
          <w:szCs w:val="20"/>
          <w:lang w:val="en-AU"/>
        </w:rPr>
        <w:t xml:space="preserve"> (IDIA)</w:t>
      </w:r>
      <w:r w:rsidR="0063491E" w:rsidRPr="00157C91">
        <w:rPr>
          <w:rFonts w:ascii="Calibri" w:eastAsia="Times New Roman" w:hAnsi="Calibri" w:cs="Times New Roman"/>
          <w:color w:val="000000"/>
          <w:sz w:val="20"/>
          <w:szCs w:val="20"/>
          <w:lang w:val="en-AU"/>
        </w:rPr>
        <w:t xml:space="preserve">, and the </w:t>
      </w:r>
      <w:hyperlink r:id="rId76" w:history="1">
        <w:r w:rsidR="0063491E" w:rsidRPr="00157C91">
          <w:rPr>
            <w:rStyle w:val="Hyperlink"/>
            <w:rFonts w:ascii="Calibri" w:eastAsia="Times New Roman" w:hAnsi="Calibri" w:cs="Times New Roman"/>
            <w:sz w:val="20"/>
            <w:szCs w:val="20"/>
            <w:lang w:val="en-AU"/>
          </w:rPr>
          <w:t>Aspen Network of Development Entrepreneurs</w:t>
        </w:r>
      </w:hyperlink>
      <w:r w:rsidR="0063491E" w:rsidRPr="00157C91">
        <w:rPr>
          <w:rFonts w:ascii="Calibri" w:eastAsia="Times New Roman" w:hAnsi="Calibri" w:cs="Times New Roman"/>
          <w:color w:val="000000"/>
          <w:sz w:val="20"/>
          <w:szCs w:val="20"/>
          <w:lang w:val="en-AU"/>
        </w:rPr>
        <w:t xml:space="preserve"> (ANDE)</w:t>
      </w:r>
      <w:r w:rsidR="002B40BA" w:rsidRPr="00157C91">
        <w:rPr>
          <w:rFonts w:ascii="Calibri" w:eastAsia="Times New Roman" w:hAnsi="Calibri" w:cs="Times New Roman"/>
          <w:color w:val="000000"/>
          <w:sz w:val="20"/>
          <w:szCs w:val="20"/>
          <w:lang w:val="en-AU"/>
        </w:rPr>
        <w:t>.</w:t>
      </w:r>
      <w:r w:rsidR="002B40BA" w:rsidRPr="00157C91">
        <w:rPr>
          <w:rFonts w:ascii="Calibri" w:eastAsia="Times New Roman" w:hAnsi="Calibri" w:cs="Times New Roman"/>
          <w:sz w:val="20"/>
          <w:szCs w:val="20"/>
          <w:lang w:val="en-AU"/>
        </w:rPr>
        <w:t xml:space="preserve"> </w:t>
      </w:r>
    </w:p>
    <w:p w14:paraId="61FB41A8" w14:textId="77777777" w:rsidR="00A16488" w:rsidRDefault="00A16488" w:rsidP="001F2786">
      <w:pPr>
        <w:spacing w:after="80"/>
        <w:jc w:val="both"/>
        <w:rPr>
          <w:b/>
          <w:color w:val="00A6B6" w:themeColor="accent1"/>
          <w:sz w:val="20"/>
          <w:szCs w:val="20"/>
        </w:rPr>
      </w:pPr>
    </w:p>
    <w:p w14:paraId="0254D403" w14:textId="7C0EE1D9" w:rsidR="00CF4C46" w:rsidRPr="00157C91" w:rsidRDefault="00CF4C46" w:rsidP="001F2786">
      <w:pPr>
        <w:spacing w:after="80"/>
        <w:jc w:val="both"/>
        <w:rPr>
          <w:color w:val="00A6B6" w:themeColor="accent1"/>
          <w:sz w:val="20"/>
          <w:szCs w:val="20"/>
        </w:rPr>
      </w:pPr>
      <w:r w:rsidRPr="00157C91">
        <w:rPr>
          <w:b/>
          <w:color w:val="00A6B6" w:themeColor="accent1"/>
          <w:sz w:val="20"/>
          <w:szCs w:val="20"/>
        </w:rPr>
        <w:t>Recommendations:</w:t>
      </w:r>
      <w:r w:rsidRPr="00157C91">
        <w:rPr>
          <w:color w:val="00A6B6" w:themeColor="accent1"/>
          <w:sz w:val="20"/>
          <w:szCs w:val="20"/>
        </w:rPr>
        <w:t xml:space="preserve"> </w:t>
      </w:r>
    </w:p>
    <w:p w14:paraId="173E3B9F" w14:textId="77777777" w:rsidR="00CF4C46" w:rsidRPr="00157C91" w:rsidRDefault="002B40BA" w:rsidP="006D0C3F">
      <w:pPr>
        <w:pStyle w:val="ListParagraph"/>
        <w:numPr>
          <w:ilvl w:val="0"/>
          <w:numId w:val="20"/>
        </w:numPr>
        <w:spacing w:before="0" w:beforeAutospacing="0"/>
        <w:jc w:val="both"/>
        <w:rPr>
          <w:rFonts w:ascii="Calibri" w:hAnsi="Calibri"/>
          <w:sz w:val="20"/>
          <w:szCs w:val="20"/>
          <w:lang w:val="en-AU"/>
        </w:rPr>
      </w:pPr>
      <w:r w:rsidRPr="00157C91">
        <w:rPr>
          <w:rFonts w:ascii="Calibri" w:hAnsi="Calibri"/>
          <w:sz w:val="20"/>
          <w:szCs w:val="20"/>
          <w:lang w:val="en-AU"/>
        </w:rPr>
        <w:t xml:space="preserve">More fitting monitoring and evaluation approaches will enable the iXc to be more strategic, </w:t>
      </w:r>
      <w:r w:rsidRPr="00157C91">
        <w:rPr>
          <w:rFonts w:ascii="Calibri" w:hAnsi="Calibri"/>
          <w:b/>
          <w:sz w:val="20"/>
          <w:szCs w:val="20"/>
          <w:lang w:val="en-AU"/>
        </w:rPr>
        <w:t xml:space="preserve">using data to </w:t>
      </w:r>
      <w:r w:rsidR="00F56C72" w:rsidRPr="00157C91">
        <w:rPr>
          <w:rFonts w:ascii="Calibri" w:hAnsi="Calibri"/>
          <w:b/>
          <w:sz w:val="20"/>
          <w:szCs w:val="20"/>
          <w:lang w:val="en-AU"/>
        </w:rPr>
        <w:t>drive</w:t>
      </w:r>
      <w:r w:rsidR="00C152A0" w:rsidRPr="00157C91">
        <w:rPr>
          <w:rFonts w:ascii="Calibri" w:hAnsi="Calibri"/>
          <w:b/>
          <w:sz w:val="20"/>
          <w:szCs w:val="20"/>
          <w:lang w:val="en-AU"/>
        </w:rPr>
        <w:t xml:space="preserve"> iterative, adaptive approaches and </w:t>
      </w:r>
      <w:r w:rsidRPr="00157C91">
        <w:rPr>
          <w:rFonts w:ascii="Calibri" w:hAnsi="Calibri"/>
          <w:b/>
          <w:sz w:val="20"/>
          <w:szCs w:val="20"/>
          <w:lang w:val="en-AU"/>
        </w:rPr>
        <w:t>make informed</w:t>
      </w:r>
      <w:r w:rsidRPr="00157C91">
        <w:rPr>
          <w:rFonts w:ascii="Calibri" w:hAnsi="Calibri"/>
          <w:sz w:val="20"/>
          <w:szCs w:val="20"/>
          <w:lang w:val="en-AU"/>
        </w:rPr>
        <w:t xml:space="preserve"> </w:t>
      </w:r>
      <w:r w:rsidRPr="00157C91">
        <w:rPr>
          <w:rFonts w:ascii="Calibri" w:hAnsi="Calibri"/>
          <w:b/>
          <w:sz w:val="20"/>
          <w:szCs w:val="20"/>
          <w:lang w:val="en-AU"/>
        </w:rPr>
        <w:t>decisions</w:t>
      </w:r>
      <w:r w:rsidRPr="00157C91">
        <w:rPr>
          <w:rFonts w:ascii="Calibri" w:hAnsi="Calibri"/>
          <w:sz w:val="20"/>
          <w:szCs w:val="20"/>
          <w:lang w:val="en-AU"/>
        </w:rPr>
        <w:t xml:space="preserve"> about balancing their portfolio.</w:t>
      </w:r>
      <w:r w:rsidR="00C152A0" w:rsidRPr="00157C91">
        <w:rPr>
          <w:rFonts w:ascii="Calibri" w:hAnsi="Calibri"/>
          <w:sz w:val="20"/>
          <w:szCs w:val="20"/>
          <w:lang w:val="en-AU"/>
        </w:rPr>
        <w:t xml:space="preserve"> </w:t>
      </w:r>
      <w:r w:rsidR="007C07BC" w:rsidRPr="00157C91">
        <w:rPr>
          <w:rFonts w:ascii="Calibri" w:hAnsi="Calibri"/>
          <w:sz w:val="20"/>
          <w:szCs w:val="20"/>
          <w:lang w:val="en-AU"/>
        </w:rPr>
        <w:t xml:space="preserve">A good example to draw on is </w:t>
      </w:r>
      <w:hyperlink r:id="rId77" w:history="1">
        <w:r w:rsidR="007C07BC" w:rsidRPr="00157C91">
          <w:rPr>
            <w:rStyle w:val="Hyperlink"/>
            <w:rFonts w:ascii="Calibri" w:hAnsi="Calibri"/>
            <w:sz w:val="20"/>
            <w:szCs w:val="20"/>
            <w:lang w:val="en-AU"/>
          </w:rPr>
          <w:t>LAUNCH Food</w:t>
        </w:r>
      </w:hyperlink>
      <w:r w:rsidR="007C07BC" w:rsidRPr="00157C91">
        <w:rPr>
          <w:rFonts w:ascii="Calibri" w:hAnsi="Calibri"/>
          <w:sz w:val="20"/>
          <w:szCs w:val="20"/>
          <w:lang w:val="en-AU"/>
        </w:rPr>
        <w:t xml:space="preserve">, in which the iXc </w:t>
      </w:r>
      <w:r w:rsidR="00F655FC" w:rsidRPr="00157C91">
        <w:rPr>
          <w:rFonts w:ascii="Calibri" w:hAnsi="Calibri"/>
          <w:sz w:val="20"/>
          <w:szCs w:val="20"/>
          <w:lang w:val="en-AU"/>
        </w:rPr>
        <w:t xml:space="preserve">opted not to conduct an impact evaluation of this early stage program, but </w:t>
      </w:r>
      <w:r w:rsidR="007C07BC" w:rsidRPr="00157C91">
        <w:rPr>
          <w:rFonts w:ascii="Calibri" w:hAnsi="Calibri"/>
          <w:sz w:val="20"/>
          <w:szCs w:val="20"/>
          <w:lang w:val="en-AU"/>
        </w:rPr>
        <w:t>funded an adaptive evaluation focused on generating evidence to help implementers</w:t>
      </w:r>
      <w:r w:rsidR="00F655FC" w:rsidRPr="00157C91">
        <w:rPr>
          <w:rFonts w:ascii="Calibri" w:hAnsi="Calibri"/>
          <w:sz w:val="20"/>
          <w:szCs w:val="20"/>
          <w:lang w:val="en-AU"/>
        </w:rPr>
        <w:t xml:space="preserve">. The adaptive evaluation created space for </w:t>
      </w:r>
      <w:r w:rsidR="007B5ED6" w:rsidRPr="00157C91">
        <w:rPr>
          <w:rFonts w:ascii="Calibri" w:hAnsi="Calibri"/>
          <w:sz w:val="20"/>
          <w:szCs w:val="20"/>
          <w:lang w:val="en-AU"/>
        </w:rPr>
        <w:t xml:space="preserve">the </w:t>
      </w:r>
      <w:r w:rsidR="00897934" w:rsidRPr="00157C91">
        <w:rPr>
          <w:rFonts w:ascii="Calibri" w:hAnsi="Calibri"/>
          <w:sz w:val="20"/>
          <w:szCs w:val="20"/>
          <w:lang w:val="en-AU"/>
        </w:rPr>
        <w:t xml:space="preserve">project </w:t>
      </w:r>
      <w:r w:rsidR="007B5ED6" w:rsidRPr="00157C91">
        <w:rPr>
          <w:rFonts w:ascii="Calibri" w:hAnsi="Calibri"/>
          <w:sz w:val="20"/>
          <w:szCs w:val="20"/>
          <w:lang w:val="en-AU"/>
        </w:rPr>
        <w:t>team</w:t>
      </w:r>
      <w:r w:rsidR="00F655FC" w:rsidRPr="00157C91">
        <w:rPr>
          <w:rFonts w:ascii="Calibri" w:hAnsi="Calibri"/>
          <w:sz w:val="20"/>
          <w:szCs w:val="20"/>
          <w:lang w:val="en-AU"/>
        </w:rPr>
        <w:t xml:space="preserve"> to reflect on the </w:t>
      </w:r>
      <w:r w:rsidR="00897934" w:rsidRPr="00157C91">
        <w:rPr>
          <w:rFonts w:ascii="Calibri" w:hAnsi="Calibri"/>
          <w:sz w:val="20"/>
          <w:szCs w:val="20"/>
          <w:lang w:val="en-AU"/>
        </w:rPr>
        <w:t>network support they provided to innovation challenge winners</w:t>
      </w:r>
      <w:r w:rsidR="00136DB3" w:rsidRPr="00157C91">
        <w:rPr>
          <w:rFonts w:ascii="Calibri" w:hAnsi="Calibri"/>
          <w:sz w:val="20"/>
          <w:szCs w:val="20"/>
          <w:lang w:val="en-AU"/>
        </w:rPr>
        <w:t xml:space="preserve"> based on concrete evidence</w:t>
      </w:r>
      <w:r w:rsidR="00CF4C46" w:rsidRPr="00157C91">
        <w:rPr>
          <w:rFonts w:ascii="Calibri" w:hAnsi="Calibri"/>
          <w:sz w:val="20"/>
          <w:szCs w:val="20"/>
          <w:lang w:val="en-AU"/>
        </w:rPr>
        <w:t>;</w:t>
      </w:r>
    </w:p>
    <w:p w14:paraId="59F11518" w14:textId="77777777" w:rsidR="00CF4C46" w:rsidRPr="00157C91" w:rsidRDefault="00220A1F" w:rsidP="009349B6">
      <w:pPr>
        <w:pStyle w:val="ListParagraph"/>
        <w:numPr>
          <w:ilvl w:val="0"/>
          <w:numId w:val="20"/>
        </w:numPr>
        <w:spacing w:after="80"/>
        <w:jc w:val="both"/>
        <w:rPr>
          <w:rFonts w:ascii="Calibri" w:hAnsi="Calibri"/>
          <w:sz w:val="20"/>
          <w:szCs w:val="20"/>
          <w:lang w:val="en-AU"/>
        </w:rPr>
      </w:pPr>
      <w:r w:rsidRPr="00157C91">
        <w:rPr>
          <w:rFonts w:ascii="Calibri" w:hAnsi="Calibri"/>
          <w:b/>
          <w:color w:val="000000"/>
          <w:sz w:val="20"/>
          <w:szCs w:val="20"/>
          <w:lang w:val="en-AU"/>
        </w:rPr>
        <w:t xml:space="preserve">Reporting systems </w:t>
      </w:r>
      <w:r w:rsidR="00EA4685" w:rsidRPr="00157C91">
        <w:rPr>
          <w:rFonts w:ascii="Calibri" w:hAnsi="Calibri"/>
          <w:b/>
          <w:color w:val="000000"/>
          <w:sz w:val="20"/>
          <w:szCs w:val="20"/>
          <w:lang w:val="en-AU"/>
        </w:rPr>
        <w:t xml:space="preserve">should </w:t>
      </w:r>
      <w:r w:rsidRPr="00157C91">
        <w:rPr>
          <w:rFonts w:ascii="Calibri" w:hAnsi="Calibri"/>
          <w:b/>
          <w:color w:val="000000"/>
          <w:sz w:val="20"/>
          <w:szCs w:val="20"/>
          <w:lang w:val="en-AU"/>
        </w:rPr>
        <w:t xml:space="preserve">be standardized and more </w:t>
      </w:r>
      <w:r w:rsidR="00EA4685" w:rsidRPr="00157C91">
        <w:rPr>
          <w:rFonts w:ascii="Calibri" w:hAnsi="Calibri"/>
          <w:b/>
          <w:color w:val="000000"/>
          <w:sz w:val="20"/>
          <w:szCs w:val="20"/>
          <w:lang w:val="en-AU"/>
        </w:rPr>
        <w:t>rigorous</w:t>
      </w:r>
      <w:r w:rsidRPr="00157C91">
        <w:rPr>
          <w:rFonts w:ascii="Calibri" w:hAnsi="Calibri"/>
          <w:color w:val="000000"/>
          <w:sz w:val="20"/>
          <w:szCs w:val="20"/>
          <w:lang w:val="en-AU"/>
        </w:rPr>
        <w:t xml:space="preserve">, so the team </w:t>
      </w:r>
      <w:r w:rsidR="00F00F1E" w:rsidRPr="00157C91">
        <w:rPr>
          <w:rFonts w:ascii="Calibri" w:hAnsi="Calibri"/>
          <w:color w:val="000000"/>
          <w:sz w:val="20"/>
          <w:szCs w:val="20"/>
          <w:lang w:val="en-AU"/>
        </w:rPr>
        <w:t>has</w:t>
      </w:r>
      <w:r w:rsidRPr="00157C91">
        <w:rPr>
          <w:rFonts w:ascii="Calibri" w:hAnsi="Calibri"/>
          <w:color w:val="000000"/>
          <w:sz w:val="20"/>
          <w:szCs w:val="20"/>
          <w:lang w:val="en-AU"/>
        </w:rPr>
        <w:t xml:space="preserve"> a clearer understanding of the effect of their investments on grantees’ program implementation, and greater ability to compare programs across the portfolio. </w:t>
      </w:r>
      <w:r w:rsidR="006F4EFB" w:rsidRPr="00157C91">
        <w:rPr>
          <w:rFonts w:ascii="Calibri" w:hAnsi="Calibri"/>
          <w:sz w:val="20"/>
          <w:szCs w:val="20"/>
          <w:lang w:val="en-AU"/>
        </w:rPr>
        <w:t>The iXc also has an important role in identifying which programs are not suitable candidates for further DFAT funding and should make information available as program and portfolio reviews are completed</w:t>
      </w:r>
      <w:r w:rsidR="00CF4C46" w:rsidRPr="00157C91">
        <w:rPr>
          <w:rFonts w:ascii="Calibri" w:hAnsi="Calibri"/>
          <w:sz w:val="20"/>
          <w:szCs w:val="20"/>
          <w:lang w:val="en-AU"/>
        </w:rPr>
        <w:t xml:space="preserve">; and </w:t>
      </w:r>
    </w:p>
    <w:p w14:paraId="07929CB3" w14:textId="2F73D10E" w:rsidR="0050786F" w:rsidRPr="00157C91" w:rsidRDefault="00CF4C46" w:rsidP="009349B6">
      <w:pPr>
        <w:pStyle w:val="ListParagraph"/>
        <w:numPr>
          <w:ilvl w:val="0"/>
          <w:numId w:val="20"/>
        </w:numPr>
        <w:spacing w:after="80"/>
        <w:jc w:val="both"/>
        <w:rPr>
          <w:rFonts w:ascii="Calibri" w:hAnsi="Calibri"/>
          <w:sz w:val="20"/>
          <w:szCs w:val="20"/>
          <w:lang w:val="en-AU"/>
        </w:rPr>
      </w:pPr>
      <w:r w:rsidRPr="00157C91">
        <w:rPr>
          <w:rFonts w:ascii="Calibri" w:hAnsi="Calibri"/>
          <w:color w:val="000000"/>
          <w:sz w:val="20"/>
          <w:szCs w:val="20"/>
          <w:lang w:val="en-AU"/>
        </w:rPr>
        <w:t>T</w:t>
      </w:r>
      <w:r w:rsidR="00C53A69" w:rsidRPr="00157C91">
        <w:rPr>
          <w:rFonts w:ascii="Calibri" w:hAnsi="Calibri"/>
          <w:color w:val="000000"/>
          <w:sz w:val="20"/>
          <w:szCs w:val="20"/>
          <w:lang w:val="en-AU"/>
        </w:rPr>
        <w:t xml:space="preserve">here is appetite amongst staff for </w:t>
      </w:r>
      <w:r w:rsidR="00220A1F" w:rsidRPr="00157C91">
        <w:rPr>
          <w:rFonts w:ascii="Calibri" w:hAnsi="Calibri"/>
          <w:color w:val="000000"/>
          <w:sz w:val="20"/>
          <w:szCs w:val="20"/>
          <w:lang w:val="en-AU"/>
        </w:rPr>
        <w:t>a</w:t>
      </w:r>
      <w:r w:rsidR="00C152A0" w:rsidRPr="00157C91">
        <w:rPr>
          <w:rFonts w:ascii="Calibri" w:hAnsi="Calibri"/>
          <w:sz w:val="20"/>
          <w:szCs w:val="20"/>
          <w:lang w:val="en-AU"/>
        </w:rPr>
        <w:t xml:space="preserve"> more </w:t>
      </w:r>
      <w:r w:rsidR="00C152A0" w:rsidRPr="00157C91">
        <w:rPr>
          <w:rFonts w:ascii="Calibri" w:hAnsi="Calibri"/>
          <w:b/>
          <w:sz w:val="20"/>
          <w:szCs w:val="20"/>
          <w:lang w:val="en-AU"/>
        </w:rPr>
        <w:t xml:space="preserve">systematic approach to </w:t>
      </w:r>
      <w:r w:rsidR="003D0F18" w:rsidRPr="00157C91">
        <w:rPr>
          <w:rFonts w:ascii="Calibri" w:hAnsi="Calibri"/>
          <w:b/>
          <w:sz w:val="20"/>
          <w:szCs w:val="20"/>
          <w:lang w:val="en-AU"/>
        </w:rPr>
        <w:t>knowledge management</w:t>
      </w:r>
      <w:r w:rsidR="003D0F18" w:rsidRPr="00157C91">
        <w:rPr>
          <w:rFonts w:ascii="Calibri" w:hAnsi="Calibri"/>
          <w:sz w:val="20"/>
          <w:szCs w:val="20"/>
          <w:lang w:val="en-AU"/>
        </w:rPr>
        <w:t xml:space="preserve">, to document </w:t>
      </w:r>
      <w:r w:rsidR="00C152A0" w:rsidRPr="00157C91">
        <w:rPr>
          <w:rFonts w:ascii="Calibri" w:hAnsi="Calibri"/>
          <w:sz w:val="20"/>
          <w:szCs w:val="20"/>
          <w:lang w:val="en-AU"/>
        </w:rPr>
        <w:t xml:space="preserve">reflection and </w:t>
      </w:r>
      <w:r w:rsidR="00C53A69" w:rsidRPr="00157C91">
        <w:rPr>
          <w:rFonts w:ascii="Calibri" w:hAnsi="Calibri"/>
          <w:sz w:val="20"/>
          <w:szCs w:val="20"/>
          <w:lang w:val="en-AU"/>
        </w:rPr>
        <w:t xml:space="preserve">learning; this work could build on that already underway across the broader </w:t>
      </w:r>
      <w:r w:rsidR="00AB1AAB">
        <w:rPr>
          <w:rFonts w:ascii="Calibri" w:hAnsi="Calibri"/>
          <w:sz w:val="20"/>
          <w:szCs w:val="20"/>
          <w:lang w:val="en-AU"/>
        </w:rPr>
        <w:t>APS</w:t>
      </w:r>
      <w:r w:rsidR="00714F19" w:rsidRPr="00157C91">
        <w:rPr>
          <w:rFonts w:ascii="Calibri" w:hAnsi="Calibri"/>
          <w:sz w:val="20"/>
          <w:szCs w:val="20"/>
          <w:lang w:val="en-AU"/>
        </w:rPr>
        <w:t>.</w:t>
      </w:r>
    </w:p>
    <w:p w14:paraId="6988B1F5" w14:textId="29A5703F" w:rsidR="0050786F" w:rsidRPr="0050786F" w:rsidRDefault="0050786F" w:rsidP="001F2786">
      <w:pPr>
        <w:pStyle w:val="Heading2"/>
        <w:numPr>
          <w:ilvl w:val="0"/>
          <w:numId w:val="0"/>
        </w:numPr>
        <w:jc w:val="both"/>
      </w:pPr>
      <w:r>
        <w:rPr>
          <w:lang w:val="en-US"/>
        </w:rPr>
        <w:lastRenderedPageBreak/>
        <w:t>Concluding thoughts</w:t>
      </w:r>
    </w:p>
    <w:p w14:paraId="667CE5A3" w14:textId="22B4D4E8" w:rsidR="00DC03F9" w:rsidRDefault="0050786F" w:rsidP="006D0C3F">
      <w:pPr>
        <w:spacing w:after="80"/>
        <w:jc w:val="both"/>
        <w:rPr>
          <w:rFonts w:ascii="Calibri" w:hAnsi="Calibri"/>
          <w:sz w:val="20"/>
          <w:szCs w:val="20"/>
        </w:rPr>
      </w:pPr>
      <w:r w:rsidRPr="0050786F">
        <w:rPr>
          <w:rFonts w:ascii="Calibri" w:hAnsi="Calibri"/>
          <w:sz w:val="20"/>
          <w:szCs w:val="20"/>
        </w:rPr>
        <w:t xml:space="preserve">The findings and recommendations presented in this report were a collaborative effort between learning partners at R4D, the iXc team, and the iXc’s partners. </w:t>
      </w:r>
      <w:r w:rsidR="00580CB3">
        <w:rPr>
          <w:rFonts w:ascii="Calibri" w:hAnsi="Calibri"/>
          <w:sz w:val="20"/>
          <w:szCs w:val="20"/>
        </w:rPr>
        <w:t xml:space="preserve">Initial </w:t>
      </w:r>
      <w:r w:rsidR="00580CB3" w:rsidRPr="0050786F">
        <w:rPr>
          <w:rFonts w:ascii="Calibri" w:hAnsi="Calibri"/>
          <w:sz w:val="20"/>
          <w:szCs w:val="20"/>
        </w:rPr>
        <w:t xml:space="preserve">findings </w:t>
      </w:r>
      <w:r w:rsidR="00580CB3">
        <w:rPr>
          <w:rFonts w:ascii="Calibri" w:hAnsi="Calibri"/>
          <w:sz w:val="20"/>
          <w:szCs w:val="20"/>
        </w:rPr>
        <w:t>were</w:t>
      </w:r>
      <w:r w:rsidR="00580CB3" w:rsidRPr="0050786F">
        <w:rPr>
          <w:rFonts w:ascii="Calibri" w:hAnsi="Calibri"/>
          <w:sz w:val="20"/>
          <w:szCs w:val="20"/>
        </w:rPr>
        <w:t xml:space="preserve"> workshopped in late August 2018</w:t>
      </w:r>
      <w:r w:rsidR="00580CB3">
        <w:rPr>
          <w:rFonts w:ascii="Calibri" w:hAnsi="Calibri"/>
          <w:sz w:val="20"/>
          <w:szCs w:val="20"/>
        </w:rPr>
        <w:t xml:space="preserve"> and this report has benefited from subsequent input from the iXc team. </w:t>
      </w:r>
      <w:r w:rsidRPr="0050786F">
        <w:rPr>
          <w:rFonts w:ascii="Calibri" w:hAnsi="Calibri"/>
          <w:sz w:val="20"/>
          <w:szCs w:val="20"/>
        </w:rPr>
        <w:t>The report team wishes to thank all of those respondents, workshop participants and data locators for their time and support.</w:t>
      </w:r>
      <w:r w:rsidR="00580CB3" w:rsidRPr="00580CB3">
        <w:rPr>
          <w:rFonts w:ascii="Calibri" w:hAnsi="Calibri"/>
          <w:sz w:val="20"/>
          <w:szCs w:val="20"/>
        </w:rPr>
        <w:t xml:space="preserve"> </w:t>
      </w:r>
      <w:r w:rsidR="00580CB3" w:rsidRPr="0050786F">
        <w:rPr>
          <w:rFonts w:ascii="Calibri" w:hAnsi="Calibri"/>
          <w:sz w:val="20"/>
          <w:szCs w:val="20"/>
        </w:rPr>
        <w:t xml:space="preserve">It is our hope that the collaborative nature of this work increases the likelihood that </w:t>
      </w:r>
      <w:r w:rsidR="00580CB3">
        <w:rPr>
          <w:rFonts w:ascii="Calibri" w:hAnsi="Calibri"/>
          <w:sz w:val="20"/>
          <w:szCs w:val="20"/>
        </w:rPr>
        <w:t>t</w:t>
      </w:r>
      <w:r w:rsidR="00580CB3" w:rsidRPr="0050786F">
        <w:rPr>
          <w:rFonts w:ascii="Calibri" w:hAnsi="Calibri"/>
          <w:sz w:val="20"/>
          <w:szCs w:val="20"/>
        </w:rPr>
        <w:t xml:space="preserve">he discussion and </w:t>
      </w:r>
      <w:r w:rsidR="00580CB3">
        <w:rPr>
          <w:rFonts w:ascii="Calibri" w:hAnsi="Calibri"/>
          <w:sz w:val="20"/>
          <w:szCs w:val="20"/>
        </w:rPr>
        <w:t>recommendations are relevant and put to good use.</w:t>
      </w:r>
    </w:p>
    <w:p w14:paraId="0E58983C" w14:textId="77777777" w:rsidR="006D0C3F" w:rsidRPr="006D0C3F" w:rsidRDefault="006D0C3F" w:rsidP="006D0C3F">
      <w:pPr>
        <w:spacing w:after="80"/>
        <w:jc w:val="both"/>
        <w:rPr>
          <w:rFonts w:ascii="Calibri" w:hAnsi="Calibri"/>
          <w:sz w:val="20"/>
          <w:szCs w:val="20"/>
        </w:rPr>
      </w:pPr>
    </w:p>
    <w:p w14:paraId="10E84917" w14:textId="77777777" w:rsidR="006D0C3F" w:rsidRDefault="006D0C3F" w:rsidP="00723AF6">
      <w:pPr>
        <w:pStyle w:val="Heading2"/>
        <w:numPr>
          <w:ilvl w:val="0"/>
          <w:numId w:val="0"/>
        </w:numPr>
        <w:jc w:val="both"/>
        <w:rPr>
          <w:lang w:val="en-US"/>
        </w:rPr>
      </w:pPr>
      <w:r>
        <w:rPr>
          <w:lang w:val="en-US"/>
        </w:rPr>
        <w:br w:type="page"/>
      </w:r>
    </w:p>
    <w:p w14:paraId="4FCEA79D" w14:textId="6616B9F1" w:rsidR="004B11B9" w:rsidRDefault="00723AF6" w:rsidP="00723AF6">
      <w:pPr>
        <w:pStyle w:val="Heading2"/>
        <w:numPr>
          <w:ilvl w:val="0"/>
          <w:numId w:val="0"/>
        </w:numPr>
        <w:jc w:val="both"/>
        <w:rPr>
          <w:lang w:val="en-US"/>
        </w:rPr>
      </w:pPr>
      <w:r>
        <w:rPr>
          <w:lang w:val="en-US"/>
        </w:rPr>
        <w:lastRenderedPageBreak/>
        <w:t xml:space="preserve">Program </w:t>
      </w:r>
      <w:r w:rsidR="003A5EF5">
        <w:rPr>
          <w:lang w:val="en-US"/>
        </w:rPr>
        <w:t xml:space="preserve">&amp; Project </w:t>
      </w:r>
      <w:r>
        <w:rPr>
          <w:lang w:val="en-US"/>
        </w:rPr>
        <w:t>Summar</w:t>
      </w:r>
      <w:r w:rsidR="000373AA">
        <w:rPr>
          <w:lang w:val="en-US"/>
        </w:rPr>
        <w:t>ies</w:t>
      </w:r>
      <w:r w:rsidR="003A5EF5">
        <w:rPr>
          <w:lang w:val="en-US"/>
        </w:rPr>
        <w:t xml:space="preserve"> </w:t>
      </w:r>
    </w:p>
    <w:p w14:paraId="2F1C9128" w14:textId="511969BA" w:rsidR="00723AF6" w:rsidRPr="004B11B9" w:rsidRDefault="004B11B9" w:rsidP="004B11B9">
      <w:pPr>
        <w:rPr>
          <w:sz w:val="20"/>
          <w:szCs w:val="20"/>
        </w:rPr>
      </w:pPr>
      <w:r w:rsidRPr="004B11B9">
        <w:rPr>
          <w:sz w:val="20"/>
          <w:szCs w:val="20"/>
        </w:rPr>
        <w:t xml:space="preserve">The following programs and projects were referred to in this report. This is not an exhaustive list of all iXc investments. For more information on the full portfolio, please visit </w:t>
      </w:r>
      <w:hyperlink r:id="rId78" w:history="1">
        <w:r w:rsidR="003D3ECD" w:rsidRPr="003D3ECD">
          <w:rPr>
            <w:rStyle w:val="Hyperlink"/>
            <w:sz w:val="20"/>
            <w:szCs w:val="20"/>
          </w:rPr>
          <w:t>https://ixc.dfat.gov.au</w:t>
        </w:r>
      </w:hyperlink>
      <w:r w:rsidR="003D3ECD">
        <w:rPr>
          <w:sz w:val="20"/>
          <w:szCs w:val="20"/>
        </w:rPr>
        <w:t>.</w:t>
      </w:r>
    </w:p>
    <w:p w14:paraId="39015AA1" w14:textId="77777777" w:rsidR="0002472C" w:rsidRPr="0002472C" w:rsidRDefault="0002472C" w:rsidP="0002472C">
      <w:pPr>
        <w:rPr>
          <w:sz w:val="12"/>
          <w:szCs w:val="12"/>
        </w:rPr>
      </w:pPr>
    </w:p>
    <w:tbl>
      <w:tblPr>
        <w:tblStyle w:val="ListTable3-Accent1"/>
        <w:tblW w:w="9427" w:type="dxa"/>
        <w:tblBorders>
          <w:top w:val="single" w:sz="4" w:space="0" w:color="FFFFFF" w:themeColor="background1"/>
          <w:left w:val="single" w:sz="4" w:space="0" w:color="FFFFFF" w:themeColor="background1"/>
          <w:right w:val="single" w:sz="4" w:space="0" w:color="FFFFFF" w:themeColor="background1"/>
          <w:insideH w:val="single" w:sz="4" w:space="0" w:color="00A6B6" w:themeColor="accent1"/>
        </w:tblBorders>
        <w:tblLayout w:type="fixed"/>
        <w:tblCellMar>
          <w:top w:w="72" w:type="dxa"/>
          <w:left w:w="115" w:type="dxa"/>
          <w:bottom w:w="72" w:type="dxa"/>
          <w:right w:w="115" w:type="dxa"/>
        </w:tblCellMar>
        <w:tblLook w:val="0480" w:firstRow="0" w:lastRow="0" w:firstColumn="1" w:lastColumn="0" w:noHBand="0" w:noVBand="1"/>
      </w:tblPr>
      <w:tblGrid>
        <w:gridCol w:w="1435"/>
        <w:gridCol w:w="7992"/>
      </w:tblGrid>
      <w:tr w:rsidR="000B5C86" w:rsidRPr="002415CD" w14:paraId="7487D2AF" w14:textId="77777777" w:rsidTr="00302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13C62BE8" w14:textId="77777777" w:rsidR="000B5C86" w:rsidRPr="002415CD" w:rsidRDefault="000B5C86" w:rsidP="00302F77">
            <w:pPr>
              <w:rPr>
                <w:rFonts w:ascii="Calibri" w:eastAsia="Calibri" w:hAnsi="Calibri" w:cs="Times New Roman"/>
                <w:color w:val="00A6B6" w:themeColor="accent1"/>
                <w:sz w:val="18"/>
                <w:szCs w:val="18"/>
                <w:lang w:val="en-GB"/>
              </w:rPr>
            </w:pPr>
            <w:r w:rsidRPr="002415CD">
              <w:rPr>
                <w:rFonts w:ascii="Calibri" w:eastAsia="Calibri" w:hAnsi="Calibri" w:cs="Times New Roman"/>
                <w:color w:val="00A6B6" w:themeColor="accent1"/>
                <w:sz w:val="18"/>
                <w:szCs w:val="18"/>
                <w:lang w:val="en-GB"/>
              </w:rPr>
              <w:t>Australian Development Accelerator</w:t>
            </w:r>
          </w:p>
        </w:tc>
        <w:tc>
          <w:tcPr>
            <w:tcW w:w="7992" w:type="dxa"/>
            <w:tcBorders>
              <w:top w:val="none" w:sz="0" w:space="0" w:color="auto"/>
              <w:bottom w:val="none" w:sz="0" w:space="0" w:color="auto"/>
            </w:tcBorders>
          </w:tcPr>
          <w:p w14:paraId="348F3242" w14:textId="77777777" w:rsidR="000B5C86" w:rsidRPr="002415CD" w:rsidRDefault="000B5C86" w:rsidP="00302F77">
            <w:pPr>
              <w:jc w:val="both"/>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15CD">
              <w:rPr>
                <w:rFonts w:ascii="Calibri" w:eastAsia="Calibri" w:hAnsi="Calibri" w:cs="Times New Roman"/>
                <w:color w:val="000000"/>
                <w:sz w:val="18"/>
                <w:szCs w:val="18"/>
                <w:lang w:val="en-AU"/>
              </w:rPr>
              <w:t xml:space="preserve">The ADA is </w:t>
            </w:r>
            <w:r w:rsidRPr="002415CD">
              <w:rPr>
                <w:rFonts w:ascii="Calibri" w:eastAsia="Calibri" w:hAnsi="Calibri" w:cs="Times New Roman"/>
                <w:color w:val="000000"/>
                <w:sz w:val="18"/>
                <w:szCs w:val="18"/>
                <w:lang w:val="en-GB"/>
              </w:rPr>
              <w:t>an AUD $12m facility designed by the iXc to support the development of innovation at post through equipping DFAT staff with additional resources in the form of flexible funding, mentoring and technical advisory services.</w:t>
            </w:r>
          </w:p>
        </w:tc>
      </w:tr>
      <w:tr w:rsidR="000B5C86" w:rsidRPr="002415CD" w14:paraId="0522B182" w14:textId="77777777" w:rsidTr="00302F77">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19AA7312" w14:textId="77777777" w:rsidR="000B5C86" w:rsidRPr="002415CD" w:rsidRDefault="005D595F" w:rsidP="00302F77">
            <w:pPr>
              <w:rPr>
                <w:rFonts w:ascii="Calibri" w:hAnsi="Calibri"/>
                <w:sz w:val="18"/>
                <w:szCs w:val="18"/>
              </w:rPr>
            </w:pPr>
            <w:hyperlink r:id="rId79" w:history="1">
              <w:r w:rsidR="000B5C86" w:rsidRPr="002415CD">
                <w:rPr>
                  <w:rStyle w:val="Hyperlink"/>
                  <w:rFonts w:ascii="Calibri" w:hAnsi="Calibri"/>
                  <w:bCs w:val="0"/>
                  <w:sz w:val="18"/>
                  <w:szCs w:val="18"/>
                </w:rPr>
                <w:t>Aus4Innovation</w:t>
              </w:r>
            </w:hyperlink>
          </w:p>
        </w:tc>
        <w:tc>
          <w:tcPr>
            <w:tcW w:w="7992" w:type="dxa"/>
          </w:tcPr>
          <w:p w14:paraId="3B0D37CE" w14:textId="77777777" w:rsidR="000B5C86" w:rsidRPr="002415CD" w:rsidRDefault="000B5C86" w:rsidP="00302F7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lang w:val="en-AU"/>
              </w:rPr>
            </w:pPr>
            <w:r w:rsidRPr="002415CD">
              <w:rPr>
                <w:rFonts w:ascii="Calibri" w:eastAsia="Calibri" w:hAnsi="Calibri" w:cs="Times New Roman"/>
                <w:color w:val="000000"/>
                <w:sz w:val="18"/>
                <w:szCs w:val="18"/>
                <w:lang w:val="en-AU"/>
              </w:rPr>
              <w:t>Aus4Innovation is an AUD $11m partnership between the Australian and Vietnamese Governments and the CSIRO with the objective of strengthening Vietnam’s innovation ecosystem and preparedness for the Fourth Industrial Revolution.</w:t>
            </w:r>
          </w:p>
        </w:tc>
      </w:tr>
      <w:tr w:rsidR="000B5C86" w:rsidRPr="002415CD" w14:paraId="602BD019" w14:textId="77777777" w:rsidTr="00302F77">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1F006946" w14:textId="77777777" w:rsidR="000B5C86" w:rsidRPr="002415CD" w:rsidRDefault="005D595F" w:rsidP="00302F77">
            <w:pPr>
              <w:rPr>
                <w:rFonts w:ascii="Calibri" w:hAnsi="Calibri"/>
                <w:sz w:val="18"/>
                <w:szCs w:val="18"/>
              </w:rPr>
            </w:pPr>
            <w:hyperlink r:id="rId80" w:history="1">
              <w:r w:rsidR="000B5C86" w:rsidRPr="002415CD">
                <w:rPr>
                  <w:rStyle w:val="Hyperlink"/>
                  <w:rFonts w:ascii="Calibri" w:hAnsi="Calibri"/>
                  <w:sz w:val="18"/>
                  <w:szCs w:val="18"/>
                  <w:lang w:val="en-AU"/>
                </w:rPr>
                <w:t>Aus4Water</w:t>
              </w:r>
            </w:hyperlink>
          </w:p>
        </w:tc>
        <w:tc>
          <w:tcPr>
            <w:tcW w:w="7992" w:type="dxa"/>
            <w:tcBorders>
              <w:top w:val="none" w:sz="0" w:space="0" w:color="auto"/>
              <w:bottom w:val="none" w:sz="0" w:space="0" w:color="auto"/>
            </w:tcBorders>
          </w:tcPr>
          <w:p w14:paraId="6DD359E0" w14:textId="77777777" w:rsidR="000B5C86" w:rsidRPr="002415CD" w:rsidRDefault="000B5C86" w:rsidP="00302F7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lang w:val="en-AU"/>
              </w:rPr>
            </w:pPr>
            <w:r w:rsidRPr="002415CD">
              <w:rPr>
                <w:rFonts w:ascii="Calibri" w:hAnsi="Calibri"/>
                <w:sz w:val="18"/>
                <w:szCs w:val="18"/>
              </w:rPr>
              <w:t>Aus4Water is an AUD $22.5m partnership between the Australian and Vietnamese Governments looking to identify innovative approaches to increase private sector engagement in rural water supply, to replicate successful models across Vietnam, and to increase economic opportunities for women.</w:t>
            </w:r>
          </w:p>
        </w:tc>
      </w:tr>
      <w:tr w:rsidR="000B5C86" w:rsidRPr="002415CD" w14:paraId="1000C98E" w14:textId="77777777" w:rsidTr="00302F77">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0BDB3450" w14:textId="77777777" w:rsidR="000B5C86" w:rsidRPr="002415CD" w:rsidRDefault="005D595F" w:rsidP="00302F77">
            <w:pPr>
              <w:rPr>
                <w:rFonts w:ascii="Calibri" w:hAnsi="Calibri"/>
                <w:color w:val="000000"/>
                <w:sz w:val="18"/>
                <w:szCs w:val="18"/>
                <w:lang w:val="en-AU"/>
              </w:rPr>
            </w:pPr>
            <w:hyperlink r:id="rId81" w:history="1">
              <w:r w:rsidR="000B5C86" w:rsidRPr="002415CD">
                <w:rPr>
                  <w:rStyle w:val="Hyperlink"/>
                  <w:rFonts w:ascii="Calibri" w:hAnsi="Calibri"/>
                  <w:sz w:val="18"/>
                  <w:szCs w:val="18"/>
                  <w:lang w:val="en-AU"/>
                </w:rPr>
                <w:t>Blue Economy Challenge</w:t>
              </w:r>
            </w:hyperlink>
          </w:p>
        </w:tc>
        <w:tc>
          <w:tcPr>
            <w:tcW w:w="7992" w:type="dxa"/>
          </w:tcPr>
          <w:p w14:paraId="7372A3BF" w14:textId="77777777" w:rsidR="000B5C86" w:rsidRPr="002415CD" w:rsidRDefault="000B5C86" w:rsidP="00302F7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val="en-AU"/>
              </w:rPr>
            </w:pPr>
            <w:r w:rsidRPr="002415CD">
              <w:rPr>
                <w:rFonts w:ascii="Calibri" w:hAnsi="Calibri"/>
                <w:color w:val="000000"/>
                <w:sz w:val="18"/>
                <w:szCs w:val="18"/>
                <w:lang w:val="en-AU"/>
              </w:rPr>
              <w:t>Australia’s AUD $3m Blue Economy Aquaculture Challenge called for innovators, entrepreneurs, designers, NGOs and academics to rethink advances in aquaculture to provide solutions that ensure both sustainable development and environmental sustainability. 220 ideas were submitted from 40 countries, with ten winners selected.</w:t>
            </w:r>
          </w:p>
        </w:tc>
      </w:tr>
      <w:tr w:rsidR="000B5C86" w:rsidRPr="002415CD" w14:paraId="70B44B28" w14:textId="77777777" w:rsidTr="00302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top w:val="none" w:sz="0" w:space="0" w:color="auto"/>
              <w:bottom w:val="none" w:sz="0" w:space="0" w:color="auto"/>
              <w:right w:val="none" w:sz="0" w:space="0" w:color="auto"/>
            </w:tcBorders>
          </w:tcPr>
          <w:p w14:paraId="0941071C" w14:textId="77777777" w:rsidR="000B5C86" w:rsidRPr="002415CD" w:rsidRDefault="005D595F" w:rsidP="00302F77">
            <w:pPr>
              <w:spacing w:after="80"/>
              <w:rPr>
                <w:rFonts w:ascii="Calibri" w:hAnsi="Calibri"/>
                <w:color w:val="000000"/>
                <w:sz w:val="18"/>
                <w:szCs w:val="18"/>
                <w:lang w:val="en-AU"/>
              </w:rPr>
            </w:pPr>
            <w:hyperlink r:id="rId82" w:history="1">
              <w:r w:rsidR="000B5C86" w:rsidRPr="002415CD">
                <w:rPr>
                  <w:rStyle w:val="Hyperlink"/>
                  <w:rFonts w:ascii="Calibri" w:hAnsi="Calibri"/>
                  <w:bCs w:val="0"/>
                  <w:sz w:val="18"/>
                  <w:szCs w:val="18"/>
                  <w:lang w:val="en-AU"/>
                </w:rPr>
                <w:t>IAEA Robotics Challenge</w:t>
              </w:r>
            </w:hyperlink>
          </w:p>
        </w:tc>
        <w:tc>
          <w:tcPr>
            <w:tcW w:w="7992" w:type="dxa"/>
            <w:tcBorders>
              <w:top w:val="none" w:sz="0" w:space="0" w:color="auto"/>
              <w:bottom w:val="none" w:sz="0" w:space="0" w:color="auto"/>
            </w:tcBorders>
          </w:tcPr>
          <w:p w14:paraId="1EBA6B54" w14:textId="77777777" w:rsidR="000B5C86" w:rsidRPr="002415CD" w:rsidRDefault="000B5C86" w:rsidP="00302F77">
            <w:pPr>
              <w:spacing w:after="80"/>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val="en-AU"/>
              </w:rPr>
            </w:pPr>
            <w:r w:rsidRPr="002415CD">
              <w:rPr>
                <w:rFonts w:ascii="Calibri" w:hAnsi="Calibri"/>
                <w:color w:val="000000"/>
                <w:sz w:val="18"/>
                <w:szCs w:val="18"/>
                <w:lang w:val="en-AU"/>
              </w:rPr>
              <w:t>DFAT’s Australian Safeguards and Nuclear Office, in partnership with the International Atomic Energy Agency (IAEA) and CSIRO’s Data61, conducted a robotics challenge to source new automated inspection robots for high-risk facilities.</w:t>
            </w:r>
          </w:p>
        </w:tc>
      </w:tr>
      <w:tr w:rsidR="000B5C86" w:rsidRPr="002415CD" w14:paraId="5B0714C3" w14:textId="77777777" w:rsidTr="00302F77">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4FB42EF9" w14:textId="77777777" w:rsidR="000B5C86" w:rsidRPr="002415CD" w:rsidRDefault="005D595F" w:rsidP="00302F77">
            <w:pPr>
              <w:spacing w:after="40"/>
              <w:rPr>
                <w:rFonts w:ascii="Calibri" w:hAnsi="Calibri"/>
                <w:color w:val="000000"/>
                <w:sz w:val="18"/>
                <w:szCs w:val="18"/>
                <w:lang w:val="en-AU"/>
              </w:rPr>
            </w:pPr>
            <w:hyperlink r:id="rId83" w:history="1">
              <w:r w:rsidR="000B5C86" w:rsidRPr="002415CD">
                <w:rPr>
                  <w:rStyle w:val="Hyperlink"/>
                  <w:rFonts w:ascii="Calibri" w:hAnsi="Calibri"/>
                  <w:bCs w:val="0"/>
                  <w:sz w:val="18"/>
                  <w:szCs w:val="18"/>
                  <w:lang w:val="en-GB"/>
                </w:rPr>
                <w:t>Data for Health Initiative</w:t>
              </w:r>
            </w:hyperlink>
          </w:p>
        </w:tc>
        <w:tc>
          <w:tcPr>
            <w:tcW w:w="7992" w:type="dxa"/>
          </w:tcPr>
          <w:p w14:paraId="4E7AE098" w14:textId="77777777" w:rsidR="000B5C86" w:rsidRPr="002415CD" w:rsidRDefault="000B5C86" w:rsidP="00302F77">
            <w:pPr>
              <w:spacing w:after="40"/>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val="en-AU"/>
              </w:rPr>
            </w:pPr>
            <w:r w:rsidRPr="002415CD">
              <w:rPr>
                <w:rFonts w:ascii="Calibri" w:hAnsi="Calibri"/>
                <w:color w:val="000000"/>
                <w:sz w:val="18"/>
                <w:szCs w:val="18"/>
                <w:lang w:val="en-AU"/>
              </w:rPr>
              <w:t xml:space="preserve">This initiative, </w:t>
            </w:r>
            <w:r w:rsidRPr="002415CD">
              <w:rPr>
                <w:rFonts w:ascii="Calibri" w:hAnsi="Calibri"/>
                <w:color w:val="000000"/>
                <w:sz w:val="18"/>
                <w:szCs w:val="18"/>
                <w:lang w:val="en-GB"/>
              </w:rPr>
              <w:t>which aims to make better information available to governments to allow them to run their health systems more effectively,</w:t>
            </w:r>
            <w:r w:rsidRPr="002415CD">
              <w:rPr>
                <w:rFonts w:ascii="Calibri" w:hAnsi="Calibri"/>
                <w:color w:val="000000"/>
                <w:sz w:val="18"/>
                <w:szCs w:val="18"/>
                <w:lang w:val="en-AU"/>
              </w:rPr>
              <w:t xml:space="preserve"> operates in 20 countries, including seven in the Indo-Pacific. It is funded by DFAT (total contribution AUD $24m) in collaboration with Bloomberg Philanthropies and other partners. </w:t>
            </w:r>
          </w:p>
        </w:tc>
      </w:tr>
      <w:tr w:rsidR="000B5C86" w:rsidRPr="002415CD" w14:paraId="0CE75E39" w14:textId="77777777" w:rsidTr="00302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9B46C1C" w14:textId="77777777" w:rsidR="000B5C86" w:rsidRPr="002415CD" w:rsidRDefault="005D595F" w:rsidP="00302F77">
            <w:pPr>
              <w:spacing w:after="40"/>
              <w:rPr>
                <w:sz w:val="18"/>
                <w:szCs w:val="18"/>
              </w:rPr>
            </w:pPr>
            <w:hyperlink r:id="rId84" w:history="1">
              <w:r w:rsidR="000B5C86" w:rsidRPr="002415CD">
                <w:rPr>
                  <w:rStyle w:val="Hyperlink"/>
                  <w:bCs w:val="0"/>
                  <w:sz w:val="18"/>
                  <w:szCs w:val="18"/>
                </w:rPr>
                <w:t>DFAT Ideas Challenge</w:t>
              </w:r>
            </w:hyperlink>
            <w:r w:rsidR="000B5C86" w:rsidRPr="002415CD">
              <w:rPr>
                <w:rStyle w:val="Hyperlink"/>
                <w:sz w:val="18"/>
                <w:szCs w:val="18"/>
              </w:rPr>
              <w:t>s</w:t>
            </w:r>
          </w:p>
        </w:tc>
        <w:tc>
          <w:tcPr>
            <w:tcW w:w="7992" w:type="dxa"/>
          </w:tcPr>
          <w:p w14:paraId="59A43DE5" w14:textId="77777777" w:rsidR="000B5C86" w:rsidRPr="002415CD" w:rsidRDefault="000B5C86" w:rsidP="00302F77">
            <w:pPr>
              <w:spacing w:after="40"/>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2415CD">
              <w:rPr>
                <w:rFonts w:ascii="Calibri" w:hAnsi="Calibri"/>
                <w:color w:val="000000"/>
                <w:sz w:val="18"/>
                <w:szCs w:val="18"/>
                <w:lang w:val="en-AU"/>
              </w:rPr>
              <w:t xml:space="preserve">DFAT ran three annual challenges in </w:t>
            </w:r>
            <w:hyperlink r:id="rId85" w:history="1">
              <w:r w:rsidRPr="002415CD">
                <w:rPr>
                  <w:rStyle w:val="Hyperlink"/>
                  <w:rFonts w:ascii="Calibri" w:hAnsi="Calibri"/>
                  <w:sz w:val="18"/>
                  <w:szCs w:val="18"/>
                </w:rPr>
                <w:t>2015</w:t>
              </w:r>
            </w:hyperlink>
            <w:r w:rsidRPr="002415CD">
              <w:rPr>
                <w:rFonts w:ascii="Calibri" w:hAnsi="Calibri"/>
                <w:color w:val="000000"/>
                <w:sz w:val="18"/>
                <w:szCs w:val="18"/>
              </w:rPr>
              <w:t xml:space="preserve">, </w:t>
            </w:r>
            <w:hyperlink r:id="rId86" w:history="1">
              <w:r w:rsidRPr="002415CD">
                <w:rPr>
                  <w:rStyle w:val="Hyperlink"/>
                  <w:rFonts w:ascii="Calibri" w:hAnsi="Calibri"/>
                  <w:sz w:val="18"/>
                  <w:szCs w:val="18"/>
                </w:rPr>
                <w:t>2016</w:t>
              </w:r>
            </w:hyperlink>
            <w:r w:rsidRPr="002415CD">
              <w:rPr>
                <w:rStyle w:val="Hyperlink"/>
                <w:rFonts w:ascii="Calibri" w:hAnsi="Calibri"/>
                <w:sz w:val="18"/>
                <w:szCs w:val="18"/>
              </w:rPr>
              <w:t xml:space="preserve"> </w:t>
            </w:r>
            <w:r w:rsidRPr="002415CD">
              <w:rPr>
                <w:rFonts w:ascii="Calibri" w:hAnsi="Calibri"/>
                <w:color w:val="000000"/>
                <w:sz w:val="18"/>
                <w:szCs w:val="18"/>
                <w:lang w:val="en-AU"/>
              </w:rPr>
              <w:t>and 2017 in which staff were invited to</w:t>
            </w:r>
            <w:r w:rsidRPr="002415CD">
              <w:rPr>
                <w:rFonts w:ascii="Calibri" w:hAnsi="Calibri"/>
                <w:color w:val="000000"/>
                <w:sz w:val="18"/>
                <w:szCs w:val="18"/>
              </w:rPr>
              <w:t xml:space="preserve"> share and discuss new ideas and take responsibility for helping the Department better achieve its objectives. </w:t>
            </w:r>
          </w:p>
        </w:tc>
      </w:tr>
      <w:tr w:rsidR="000B5C86" w:rsidRPr="002415CD" w14:paraId="337ABB55" w14:textId="77777777" w:rsidTr="00302F77">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231676FE" w14:textId="77777777" w:rsidR="000B5C86" w:rsidRPr="002415CD" w:rsidRDefault="005D595F" w:rsidP="00302F77">
            <w:pPr>
              <w:rPr>
                <w:rFonts w:ascii="Calibri" w:eastAsia="Times New Roman" w:hAnsi="Calibri" w:cs="Times New Roman"/>
                <w:color w:val="000000"/>
                <w:sz w:val="18"/>
                <w:szCs w:val="18"/>
                <w:lang w:val="en-AU"/>
              </w:rPr>
            </w:pPr>
            <w:hyperlink r:id="rId87" w:history="1">
              <w:r w:rsidR="000B5C86" w:rsidRPr="002415CD">
                <w:rPr>
                  <w:rStyle w:val="Hyperlink"/>
                  <w:rFonts w:ascii="Calibri" w:eastAsia="Times New Roman" w:hAnsi="Calibri" w:cs="Times New Roman"/>
                  <w:sz w:val="18"/>
                  <w:szCs w:val="18"/>
                  <w:lang w:val="en-AU"/>
                </w:rPr>
                <w:t>EnerGaia</w:t>
              </w:r>
            </w:hyperlink>
          </w:p>
        </w:tc>
        <w:tc>
          <w:tcPr>
            <w:tcW w:w="7992" w:type="dxa"/>
          </w:tcPr>
          <w:p w14:paraId="2FDFB049" w14:textId="77777777" w:rsidR="000B5C86" w:rsidRPr="002415CD" w:rsidRDefault="000B5C86" w:rsidP="00302F77">
            <w:pPr>
              <w:spacing w:after="80"/>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rPr>
            </w:pPr>
            <w:r w:rsidRPr="002415CD">
              <w:rPr>
                <w:rFonts w:ascii="Calibri" w:hAnsi="Calibri"/>
                <w:sz w:val="18"/>
                <w:szCs w:val="18"/>
                <w:lang w:val="en-GB"/>
              </w:rPr>
              <w:t>EnerGaia was a winner in the Blue Economy Challenge with its innovative model for farming Spirulina, a nutritious algae super-food. EnerGaia received an AUD $500,000 investment and grew from a small start-up based in Bangkok, expanding its operations to Bangladesh, Phuket and the Solomon Islands.</w:t>
            </w:r>
          </w:p>
        </w:tc>
      </w:tr>
      <w:tr w:rsidR="000B5C86" w:rsidRPr="002415CD" w14:paraId="4DDED208" w14:textId="77777777" w:rsidTr="00302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06718B6B" w14:textId="77777777" w:rsidR="000B5C86" w:rsidRPr="002415CD" w:rsidRDefault="005D595F" w:rsidP="00302F77">
            <w:pPr>
              <w:rPr>
                <w:rFonts w:ascii="Calibri" w:eastAsia="Calibri" w:hAnsi="Calibri" w:cs="Times New Roman"/>
                <w:color w:val="000000"/>
                <w:sz w:val="18"/>
                <w:szCs w:val="18"/>
                <w:lang w:val="en-AU"/>
              </w:rPr>
            </w:pPr>
            <w:hyperlink r:id="rId88" w:history="1">
              <w:r w:rsidR="000B5C86" w:rsidRPr="002415CD">
                <w:rPr>
                  <w:rStyle w:val="Hyperlink"/>
                  <w:rFonts w:ascii="Calibri" w:eastAsia="Calibri" w:hAnsi="Calibri" w:cs="Times New Roman"/>
                  <w:sz w:val="18"/>
                  <w:szCs w:val="18"/>
                  <w:lang w:val="en-AU"/>
                </w:rPr>
                <w:t>Global Innovation Fund</w:t>
              </w:r>
            </w:hyperlink>
          </w:p>
        </w:tc>
        <w:tc>
          <w:tcPr>
            <w:tcW w:w="7992" w:type="dxa"/>
          </w:tcPr>
          <w:p w14:paraId="4CFE2BB0" w14:textId="77777777" w:rsidR="000B5C86" w:rsidRPr="002415CD" w:rsidRDefault="000B5C86" w:rsidP="00302F77">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color w:val="000000"/>
                <w:sz w:val="18"/>
                <w:szCs w:val="18"/>
              </w:rPr>
            </w:pPr>
            <w:r w:rsidRPr="002415CD">
              <w:rPr>
                <w:rFonts w:ascii="Calibri" w:eastAsia="Calibri" w:hAnsi="Calibri" w:cs="Times New Roman"/>
                <w:color w:val="000000"/>
                <w:sz w:val="18"/>
                <w:szCs w:val="18"/>
                <w:lang w:val="en-AU"/>
              </w:rPr>
              <w:t>DFAT has committed over AUD $30m to GIF, a non-profit fund that invests in the development, rigorous testing, and scaling of innovations targeted at improving the lives of the world’s poorest people.</w:t>
            </w:r>
          </w:p>
        </w:tc>
      </w:tr>
      <w:tr w:rsidR="000B5C86" w:rsidRPr="002415CD" w14:paraId="4C13BD50" w14:textId="77777777" w:rsidTr="00302F77">
        <w:tc>
          <w:tcPr>
            <w:cnfStyle w:val="001000000000" w:firstRow="0" w:lastRow="0" w:firstColumn="1" w:lastColumn="0" w:oddVBand="0" w:evenVBand="0" w:oddHBand="0" w:evenHBand="0" w:firstRowFirstColumn="0" w:firstRowLastColumn="0" w:lastRowFirstColumn="0" w:lastRowLastColumn="0"/>
            <w:tcW w:w="1435" w:type="dxa"/>
          </w:tcPr>
          <w:p w14:paraId="782C679A" w14:textId="77777777" w:rsidR="000B5C86" w:rsidRPr="002415CD" w:rsidRDefault="005D595F" w:rsidP="00302F77">
            <w:pPr>
              <w:rPr>
                <w:sz w:val="18"/>
                <w:szCs w:val="18"/>
              </w:rPr>
            </w:pPr>
            <w:hyperlink r:id="rId89" w:history="1">
              <w:r w:rsidR="000B5C86" w:rsidRPr="002415CD">
                <w:rPr>
                  <w:rStyle w:val="Hyperlink"/>
                  <w:bCs w:val="0"/>
                  <w:sz w:val="18"/>
                  <w:szCs w:val="18"/>
                </w:rPr>
                <w:t>Google Impact Challenge</w:t>
              </w:r>
            </w:hyperlink>
          </w:p>
        </w:tc>
        <w:tc>
          <w:tcPr>
            <w:tcW w:w="7992" w:type="dxa"/>
          </w:tcPr>
          <w:p w14:paraId="5A8F71F5" w14:textId="788D8B37" w:rsidR="000B5C86" w:rsidRPr="002415CD" w:rsidRDefault="000B5C86" w:rsidP="00302F77">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color w:val="000000"/>
                <w:sz w:val="18"/>
                <w:szCs w:val="18"/>
              </w:rPr>
            </w:pPr>
            <w:r w:rsidRPr="002415CD">
              <w:rPr>
                <w:rFonts w:ascii="Calibri" w:eastAsia="Calibri" w:hAnsi="Calibri" w:cs="Times New Roman"/>
                <w:color w:val="000000"/>
                <w:sz w:val="18"/>
                <w:szCs w:val="18"/>
              </w:rPr>
              <w:t>The DFAT Technology Against Poverty Prize is a</w:t>
            </w:r>
            <w:r w:rsidR="00A555A4" w:rsidRPr="002415CD">
              <w:rPr>
                <w:rFonts w:ascii="Calibri" w:eastAsia="Calibri" w:hAnsi="Calibri" w:cs="Times New Roman"/>
                <w:color w:val="000000"/>
                <w:sz w:val="18"/>
                <w:szCs w:val="18"/>
              </w:rPr>
              <w:t>n AUD</w:t>
            </w:r>
            <w:r w:rsidRPr="002415CD">
              <w:rPr>
                <w:rFonts w:ascii="Calibri" w:eastAsia="Calibri" w:hAnsi="Calibri" w:cs="Times New Roman"/>
                <w:color w:val="000000"/>
                <w:sz w:val="18"/>
                <w:szCs w:val="18"/>
              </w:rPr>
              <w:t xml:space="preserve"> $500,000 grant provided by the iXc as part of the 2016 Google Impact Challenge. Four grants were awarded. </w:t>
            </w:r>
          </w:p>
        </w:tc>
      </w:tr>
      <w:tr w:rsidR="000B5C86" w:rsidRPr="002415CD" w14:paraId="481BA5FB" w14:textId="77777777" w:rsidTr="00302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2C5282D3" w14:textId="77777777" w:rsidR="000B5C86" w:rsidRPr="002415CD" w:rsidRDefault="005D595F" w:rsidP="00302F77">
            <w:pPr>
              <w:rPr>
                <w:rFonts w:ascii="Calibri" w:hAnsi="Calibri"/>
                <w:color w:val="000000"/>
                <w:sz w:val="18"/>
                <w:szCs w:val="18"/>
                <w:lang w:val="en-AU"/>
              </w:rPr>
            </w:pPr>
            <w:hyperlink r:id="rId90" w:history="1">
              <w:r w:rsidR="000B5C86" w:rsidRPr="002415CD">
                <w:rPr>
                  <w:rStyle w:val="Hyperlink"/>
                  <w:rFonts w:ascii="Calibri" w:hAnsi="Calibri"/>
                  <w:sz w:val="18"/>
                  <w:szCs w:val="18"/>
                  <w:lang w:val="en-AU"/>
                </w:rPr>
                <w:t>GSMA Ecosystem Accelerator</w:t>
              </w:r>
            </w:hyperlink>
          </w:p>
        </w:tc>
        <w:tc>
          <w:tcPr>
            <w:tcW w:w="7992" w:type="dxa"/>
          </w:tcPr>
          <w:p w14:paraId="7471AD8B" w14:textId="06AB5D4B" w:rsidR="000B5C86" w:rsidRPr="002415CD" w:rsidRDefault="000B5C86" w:rsidP="00302F77">
            <w:pPr>
              <w:jc w:val="both"/>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15CD">
              <w:rPr>
                <w:rFonts w:ascii="Calibri" w:hAnsi="Calibri"/>
                <w:sz w:val="18"/>
                <w:szCs w:val="18"/>
              </w:rPr>
              <w:t xml:space="preserve">The GSMA Ecosystem Accelerator, funded by DFAT, the UK Department for International Development and GSMA, works to bridge the gap between operators and innovators, enabling strong partnerships that </w:t>
            </w:r>
            <w:r w:rsidR="00A555A4" w:rsidRPr="002415CD">
              <w:rPr>
                <w:rFonts w:ascii="Calibri" w:hAnsi="Calibri"/>
                <w:sz w:val="18"/>
                <w:szCs w:val="18"/>
              </w:rPr>
              <w:t>encourage</w:t>
            </w:r>
            <w:r w:rsidRPr="002415CD">
              <w:rPr>
                <w:rFonts w:ascii="Calibri" w:hAnsi="Calibri"/>
                <w:sz w:val="18"/>
                <w:szCs w:val="18"/>
              </w:rPr>
              <w:t xml:space="preserve"> the growth of commercially sustainable mobile products and services. DFAT is contributing</w:t>
            </w:r>
            <w:r w:rsidR="008F3A35" w:rsidRPr="002415CD">
              <w:rPr>
                <w:rFonts w:ascii="Calibri" w:hAnsi="Calibri"/>
                <w:sz w:val="18"/>
                <w:szCs w:val="18"/>
              </w:rPr>
              <w:t xml:space="preserve"> AUD</w:t>
            </w:r>
            <w:r w:rsidRPr="002415CD">
              <w:rPr>
                <w:rFonts w:ascii="Calibri" w:hAnsi="Calibri"/>
                <w:sz w:val="18"/>
                <w:szCs w:val="18"/>
              </w:rPr>
              <w:t xml:space="preserve"> $5.6 million over four years, with a focus on </w:t>
            </w:r>
            <w:r w:rsidR="008F3A35" w:rsidRPr="002415CD">
              <w:rPr>
                <w:rFonts w:ascii="Calibri" w:hAnsi="Calibri"/>
                <w:sz w:val="18"/>
                <w:szCs w:val="18"/>
              </w:rPr>
              <w:t>supporting</w:t>
            </w:r>
            <w:r w:rsidRPr="002415CD">
              <w:rPr>
                <w:rFonts w:ascii="Calibri" w:hAnsi="Calibri"/>
                <w:sz w:val="18"/>
                <w:szCs w:val="18"/>
              </w:rPr>
              <w:t xml:space="preserve"> mobile solutions for development in the Indo-Pacific.</w:t>
            </w:r>
          </w:p>
        </w:tc>
      </w:tr>
      <w:tr w:rsidR="000B5C86" w:rsidRPr="002415CD" w14:paraId="19403337" w14:textId="77777777" w:rsidTr="00302F77">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67BB6B05" w14:textId="77777777" w:rsidR="000B5C86" w:rsidRPr="002415CD" w:rsidRDefault="005D595F" w:rsidP="00302F77">
            <w:pPr>
              <w:rPr>
                <w:rFonts w:ascii="Calibri" w:hAnsi="Calibri"/>
                <w:sz w:val="18"/>
                <w:szCs w:val="18"/>
                <w:lang w:val="en-AU"/>
              </w:rPr>
            </w:pPr>
            <w:hyperlink r:id="rId91" w:history="1">
              <w:r w:rsidR="000B5C86" w:rsidRPr="002415CD">
                <w:rPr>
                  <w:rStyle w:val="Hyperlink"/>
                  <w:rFonts w:ascii="Calibri" w:hAnsi="Calibri"/>
                  <w:sz w:val="18"/>
                  <w:szCs w:val="18"/>
                  <w:lang w:val="en-AU"/>
                </w:rPr>
                <w:t>Hamutuk</w:t>
              </w:r>
            </w:hyperlink>
          </w:p>
        </w:tc>
        <w:tc>
          <w:tcPr>
            <w:tcW w:w="7992" w:type="dxa"/>
          </w:tcPr>
          <w:p w14:paraId="1C057AAE" w14:textId="77777777" w:rsidR="000B5C86" w:rsidRPr="002415CD" w:rsidRDefault="000B5C86" w:rsidP="00302F77">
            <w:pPr>
              <w:jc w:val="both"/>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15CD">
              <w:rPr>
                <w:rFonts w:ascii="Calibri" w:hAnsi="Calibri"/>
                <w:sz w:val="18"/>
                <w:szCs w:val="18"/>
                <w:lang w:val="en-AU"/>
              </w:rPr>
              <w:t xml:space="preserve">Hamutuk is a project funded through the Australia Timor-Leste Partnership for Human Development (DFAT funding of AUD $3m over four years). It works to reduce stunting in children under two years of age by increasing collaboration and coordination between partners in fields relevant to nutrition, improving family nutrition practices at the household level, and working alongside the government to sustain improvements.  </w:t>
            </w:r>
          </w:p>
        </w:tc>
      </w:tr>
      <w:tr w:rsidR="000B5C86" w:rsidRPr="002415CD" w14:paraId="104E1ED2" w14:textId="77777777" w:rsidTr="00302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4EF97BD4" w14:textId="77777777" w:rsidR="000B5C86" w:rsidRPr="002415CD" w:rsidRDefault="005D595F" w:rsidP="00302F77">
            <w:pPr>
              <w:rPr>
                <w:rFonts w:ascii="Calibri" w:hAnsi="Calibri"/>
                <w:sz w:val="18"/>
                <w:szCs w:val="18"/>
                <w:lang w:val="en-AU"/>
              </w:rPr>
            </w:pPr>
            <w:hyperlink r:id="rId92" w:history="1">
              <w:r w:rsidR="000B5C86" w:rsidRPr="002415CD">
                <w:rPr>
                  <w:rStyle w:val="Hyperlink"/>
                  <w:rFonts w:ascii="Calibri" w:hAnsi="Calibri"/>
                  <w:sz w:val="18"/>
                  <w:szCs w:val="18"/>
                  <w:lang w:val="en-AU"/>
                </w:rPr>
                <w:t>Innovation Resource Facility</w:t>
              </w:r>
            </w:hyperlink>
          </w:p>
        </w:tc>
        <w:tc>
          <w:tcPr>
            <w:tcW w:w="7992" w:type="dxa"/>
          </w:tcPr>
          <w:p w14:paraId="54104C5B" w14:textId="77777777" w:rsidR="000B5C86" w:rsidRPr="002415CD" w:rsidRDefault="000B5C86" w:rsidP="00302F77">
            <w:pPr>
              <w:jc w:val="both"/>
              <w:cnfStyle w:val="000000100000" w:firstRow="0" w:lastRow="0" w:firstColumn="0" w:lastColumn="0" w:oddVBand="0" w:evenVBand="0" w:oddHBand="1" w:evenHBand="0" w:firstRowFirstColumn="0" w:firstRowLastColumn="0" w:lastRowFirstColumn="0" w:lastRowLastColumn="0"/>
              <w:rPr>
                <w:rFonts w:ascii="Calibri" w:hAnsi="Calibri"/>
                <w:sz w:val="18"/>
                <w:szCs w:val="18"/>
                <w:lang w:val="en-AU"/>
              </w:rPr>
            </w:pPr>
            <w:r w:rsidRPr="002415CD">
              <w:rPr>
                <w:rFonts w:ascii="Calibri" w:hAnsi="Calibri"/>
                <w:sz w:val="18"/>
                <w:szCs w:val="18"/>
                <w:lang w:val="en-AU"/>
              </w:rPr>
              <w:t>The iXc established the IRF to provide Australian Aid with efficient access to high quality technical advisory services. The IRF has been designed to provide access to non-aid-related innovation skills to enhance DFAT and other Commonwealth Government departments’ innovation capabilities.</w:t>
            </w:r>
          </w:p>
        </w:tc>
      </w:tr>
      <w:tr w:rsidR="000B5C86" w:rsidRPr="002415CD" w14:paraId="7D46281C" w14:textId="77777777" w:rsidTr="00302F77">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20011703" w14:textId="77777777" w:rsidR="000B5C86" w:rsidRPr="002415CD" w:rsidRDefault="005D595F" w:rsidP="00302F77">
            <w:pPr>
              <w:rPr>
                <w:rFonts w:ascii="Calibri" w:hAnsi="Calibri"/>
                <w:color w:val="000000"/>
                <w:sz w:val="18"/>
                <w:szCs w:val="18"/>
                <w:lang w:val="en-AU"/>
              </w:rPr>
            </w:pPr>
            <w:hyperlink r:id="rId93" w:history="1">
              <w:r w:rsidR="000B5C86" w:rsidRPr="002415CD">
                <w:rPr>
                  <w:rStyle w:val="Hyperlink"/>
                  <w:rFonts w:ascii="Calibri" w:eastAsia="Times New Roman" w:hAnsi="Calibri" w:cs="Times New Roman"/>
                  <w:sz w:val="18"/>
                  <w:szCs w:val="18"/>
                  <w:lang w:val="en-AU"/>
                </w:rPr>
                <w:t>Frontier Innovators</w:t>
              </w:r>
            </w:hyperlink>
            <w:r w:rsidR="000B5C86" w:rsidRPr="002415CD">
              <w:rPr>
                <w:rFonts w:ascii="Calibri" w:eastAsia="Times New Roman" w:hAnsi="Calibri" w:cs="Times New Roman"/>
                <w:color w:val="000000"/>
                <w:sz w:val="18"/>
                <w:szCs w:val="18"/>
                <w:lang w:val="en-AU"/>
              </w:rPr>
              <w:t xml:space="preserve"> </w:t>
            </w:r>
          </w:p>
        </w:tc>
        <w:tc>
          <w:tcPr>
            <w:tcW w:w="7992" w:type="dxa"/>
          </w:tcPr>
          <w:p w14:paraId="64DC94D2" w14:textId="26F6E4DC" w:rsidR="000B5C86" w:rsidRPr="002415CD" w:rsidRDefault="000B5C86" w:rsidP="00302F77">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val="en-AU"/>
              </w:rPr>
            </w:pPr>
            <w:r w:rsidRPr="002415CD">
              <w:rPr>
                <w:rFonts w:ascii="Calibri" w:eastAsia="Times New Roman" w:hAnsi="Calibri" w:cs="Times New Roman"/>
                <w:color w:val="000000"/>
                <w:sz w:val="18"/>
                <w:szCs w:val="18"/>
                <w:lang w:val="en-AU"/>
              </w:rPr>
              <w:t>This program, led by the iXc, identified 14 innovative impact-oriented businesses from the Indo-Pacific that align with the Sustainable Development Goals, providing them with up to AUD $100,000 and customi</w:t>
            </w:r>
            <w:r w:rsidR="00B41A36" w:rsidRPr="002415CD">
              <w:rPr>
                <w:rFonts w:ascii="Calibri" w:eastAsia="Times New Roman" w:hAnsi="Calibri" w:cs="Times New Roman"/>
                <w:color w:val="000000"/>
                <w:sz w:val="18"/>
                <w:szCs w:val="18"/>
                <w:lang w:val="en-AU"/>
              </w:rPr>
              <w:t>z</w:t>
            </w:r>
            <w:r w:rsidRPr="002415CD">
              <w:rPr>
                <w:rFonts w:ascii="Calibri" w:eastAsia="Times New Roman" w:hAnsi="Calibri" w:cs="Times New Roman"/>
                <w:color w:val="000000"/>
                <w:sz w:val="18"/>
                <w:szCs w:val="18"/>
                <w:lang w:val="en-AU"/>
              </w:rPr>
              <w:t>ed support to grow their impact and promote positive change in their communities. It is one of four interventions within the Scaling Frontier Innovation initiative.</w:t>
            </w:r>
          </w:p>
        </w:tc>
      </w:tr>
      <w:tr w:rsidR="000B5C86" w:rsidRPr="002415CD" w14:paraId="6A9962A6" w14:textId="77777777" w:rsidTr="00302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077DA2A0" w14:textId="77777777" w:rsidR="000B5C86" w:rsidRPr="002415CD" w:rsidRDefault="005D595F" w:rsidP="00302F77">
            <w:pPr>
              <w:rPr>
                <w:rFonts w:ascii="Calibri" w:hAnsi="Calibri"/>
                <w:color w:val="000000"/>
                <w:sz w:val="18"/>
                <w:szCs w:val="18"/>
                <w:lang w:val="en-AU"/>
              </w:rPr>
            </w:pPr>
            <w:hyperlink r:id="rId94" w:history="1">
              <w:r w:rsidR="000B5C86" w:rsidRPr="002415CD">
                <w:rPr>
                  <w:rStyle w:val="Hyperlink"/>
                  <w:rFonts w:ascii="Calibri" w:hAnsi="Calibri"/>
                  <w:sz w:val="18"/>
                  <w:szCs w:val="18"/>
                  <w:lang w:val="en-AU"/>
                </w:rPr>
                <w:t>LAUNCH Food</w:t>
              </w:r>
            </w:hyperlink>
          </w:p>
        </w:tc>
        <w:tc>
          <w:tcPr>
            <w:tcW w:w="7992" w:type="dxa"/>
          </w:tcPr>
          <w:p w14:paraId="79D48FB1" w14:textId="5C585CEA" w:rsidR="000B5C86" w:rsidRPr="002415CD" w:rsidRDefault="000B5C86" w:rsidP="00302F77">
            <w:pPr>
              <w:jc w:val="both"/>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15CD">
              <w:rPr>
                <w:rFonts w:ascii="Calibri" w:hAnsi="Calibri"/>
                <w:sz w:val="18"/>
                <w:szCs w:val="18"/>
              </w:rPr>
              <w:t>DFAT</w:t>
            </w:r>
            <w:r w:rsidR="00B41A36" w:rsidRPr="002415CD">
              <w:rPr>
                <w:rFonts w:ascii="Calibri" w:hAnsi="Calibri"/>
                <w:sz w:val="18"/>
                <w:szCs w:val="18"/>
              </w:rPr>
              <w:t xml:space="preserve">, via the iXc, </w:t>
            </w:r>
            <w:r w:rsidRPr="002415CD">
              <w:rPr>
                <w:rFonts w:ascii="Calibri" w:hAnsi="Calibri"/>
                <w:sz w:val="18"/>
                <w:szCs w:val="18"/>
              </w:rPr>
              <w:t>committed up to AUD $4m in support of this challenge to accelerate a portfolio of solutions that address the availability of and access to affordable, nutritious, desirable and sustainable food, and solutions that promote people’s selection and consumption of more nutritious food in the Indo-Pacific.</w:t>
            </w:r>
          </w:p>
        </w:tc>
      </w:tr>
      <w:tr w:rsidR="000B5C86" w:rsidRPr="002415CD" w14:paraId="720DA90E" w14:textId="77777777" w:rsidTr="00302F77">
        <w:tc>
          <w:tcPr>
            <w:cnfStyle w:val="001000000000" w:firstRow="0" w:lastRow="0" w:firstColumn="1" w:lastColumn="0" w:oddVBand="0" w:evenVBand="0" w:oddHBand="0" w:evenHBand="0" w:firstRowFirstColumn="0" w:firstRowLastColumn="0" w:lastRowFirstColumn="0" w:lastRowLastColumn="0"/>
            <w:tcW w:w="1435" w:type="dxa"/>
          </w:tcPr>
          <w:p w14:paraId="196A6322" w14:textId="77777777" w:rsidR="000B5C86" w:rsidRPr="002415CD" w:rsidRDefault="005D595F" w:rsidP="00302F77">
            <w:pPr>
              <w:rPr>
                <w:sz w:val="18"/>
                <w:szCs w:val="18"/>
              </w:rPr>
            </w:pPr>
            <w:hyperlink r:id="rId95" w:history="1">
              <w:r w:rsidR="000B5C86" w:rsidRPr="002415CD">
                <w:rPr>
                  <w:rStyle w:val="Hyperlink"/>
                  <w:bCs w:val="0"/>
                  <w:sz w:val="18"/>
                  <w:szCs w:val="18"/>
                </w:rPr>
                <w:t>LAUNCH Legends</w:t>
              </w:r>
            </w:hyperlink>
          </w:p>
        </w:tc>
        <w:tc>
          <w:tcPr>
            <w:tcW w:w="7992" w:type="dxa"/>
          </w:tcPr>
          <w:p w14:paraId="2169C740" w14:textId="77777777" w:rsidR="000B5C86" w:rsidRPr="002415CD" w:rsidRDefault="000B5C86" w:rsidP="00302F77">
            <w:pPr>
              <w:jc w:val="both"/>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15CD">
              <w:rPr>
                <w:rFonts w:ascii="Calibri" w:hAnsi="Calibri"/>
                <w:sz w:val="18"/>
                <w:szCs w:val="18"/>
              </w:rPr>
              <w:t xml:space="preserve">This AUD $1.07m iXc initiative is aimed at promoting healthy eating and better nutrition in the Pacific region through the use of emerging, interactive and storytelling technologies, including VR/AR. </w:t>
            </w:r>
          </w:p>
        </w:tc>
      </w:tr>
      <w:tr w:rsidR="000B5C86" w:rsidRPr="002415CD" w14:paraId="20A14C8D" w14:textId="77777777" w:rsidTr="00302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11B70E1" w14:textId="77777777" w:rsidR="000B5C86" w:rsidRPr="002415CD" w:rsidRDefault="005D595F" w:rsidP="00302F77">
            <w:pPr>
              <w:rPr>
                <w:sz w:val="18"/>
                <w:szCs w:val="18"/>
              </w:rPr>
            </w:pPr>
            <w:hyperlink r:id="rId96" w:history="1">
              <w:r w:rsidR="000B5C86" w:rsidRPr="002415CD">
                <w:rPr>
                  <w:rStyle w:val="Hyperlink"/>
                  <w:bCs w:val="0"/>
                  <w:sz w:val="18"/>
                  <w:szCs w:val="18"/>
                </w:rPr>
                <w:t>MeWe International</w:t>
              </w:r>
            </w:hyperlink>
          </w:p>
        </w:tc>
        <w:tc>
          <w:tcPr>
            <w:tcW w:w="7992" w:type="dxa"/>
          </w:tcPr>
          <w:p w14:paraId="64C625B4" w14:textId="77777777" w:rsidR="000B5C86" w:rsidRPr="002415CD" w:rsidRDefault="000B5C86" w:rsidP="00302F77">
            <w:pPr>
              <w:jc w:val="both"/>
              <w:cnfStyle w:val="000000100000" w:firstRow="0" w:lastRow="0" w:firstColumn="0" w:lastColumn="0" w:oddVBand="0" w:evenVBand="0" w:oddHBand="1" w:evenHBand="0" w:firstRowFirstColumn="0" w:firstRowLastColumn="0" w:lastRowFirstColumn="0" w:lastRowLastColumn="0"/>
              <w:rPr>
                <w:rFonts w:ascii="Calibri" w:hAnsi="Calibri"/>
                <w:sz w:val="18"/>
                <w:szCs w:val="18"/>
              </w:rPr>
            </w:pPr>
            <w:r w:rsidRPr="002415CD">
              <w:rPr>
                <w:rFonts w:ascii="Calibri" w:hAnsi="Calibri"/>
                <w:sz w:val="18"/>
                <w:szCs w:val="18"/>
                <w:lang w:val="en-GB"/>
              </w:rPr>
              <w:t>MeWe International was a winner in the MIKTA Challenge with its innovative storytelling program for changemakers, which aims to enhance internal, interpersonal, and community communication as essential components in sustainable peace and development. MeWe International received an investment of AUD $180,690.</w:t>
            </w:r>
          </w:p>
        </w:tc>
      </w:tr>
      <w:tr w:rsidR="000B5C86" w:rsidRPr="002415CD" w14:paraId="65596F42" w14:textId="77777777" w:rsidTr="00302F77">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67026EC0" w14:textId="77777777" w:rsidR="000B5C86" w:rsidRPr="002415CD" w:rsidRDefault="005D595F" w:rsidP="00302F77">
            <w:pPr>
              <w:pStyle w:val="Default"/>
              <w:spacing w:after="80"/>
              <w:rPr>
                <w:sz w:val="18"/>
                <w:szCs w:val="18"/>
                <w:lang w:val="en-AU"/>
              </w:rPr>
            </w:pPr>
            <w:hyperlink r:id="rId97" w:history="1">
              <w:r w:rsidR="000B5C86" w:rsidRPr="002415CD">
                <w:rPr>
                  <w:rStyle w:val="Hyperlink"/>
                  <w:sz w:val="18"/>
                  <w:szCs w:val="18"/>
                  <w:lang w:val="en-GB"/>
                </w:rPr>
                <w:t>MIKTA Challenge</w:t>
              </w:r>
            </w:hyperlink>
            <w:r w:rsidR="000B5C86" w:rsidRPr="002415CD">
              <w:rPr>
                <w:sz w:val="18"/>
                <w:szCs w:val="18"/>
                <w:lang w:val="en-AU"/>
              </w:rPr>
              <w:t xml:space="preserve"> </w:t>
            </w:r>
          </w:p>
        </w:tc>
        <w:tc>
          <w:tcPr>
            <w:tcW w:w="7992" w:type="dxa"/>
          </w:tcPr>
          <w:p w14:paraId="635F980F" w14:textId="77777777" w:rsidR="000B5C86" w:rsidRPr="002415CD" w:rsidRDefault="000B5C86" w:rsidP="00302F77">
            <w:pPr>
              <w:pStyle w:val="Default"/>
              <w:spacing w:after="80"/>
              <w:jc w:val="both"/>
              <w:cnfStyle w:val="000000000000" w:firstRow="0" w:lastRow="0" w:firstColumn="0" w:lastColumn="0" w:oddVBand="0" w:evenVBand="0" w:oddHBand="0" w:evenHBand="0" w:firstRowFirstColumn="0" w:firstRowLastColumn="0" w:lastRowFirstColumn="0" w:lastRowLastColumn="0"/>
              <w:rPr>
                <w:sz w:val="18"/>
                <w:szCs w:val="18"/>
                <w:lang w:val="en-AU"/>
              </w:rPr>
            </w:pPr>
            <w:r w:rsidRPr="002415CD">
              <w:rPr>
                <w:sz w:val="18"/>
                <w:szCs w:val="18"/>
                <w:lang w:val="en-AU"/>
              </w:rPr>
              <w:t xml:space="preserve">Through this AUD $2m program, Australia’s </w:t>
            </w:r>
            <w:r w:rsidRPr="002415CD">
              <w:rPr>
                <w:sz w:val="18"/>
                <w:szCs w:val="18"/>
                <w:lang w:val="en-GB"/>
              </w:rPr>
              <w:t>MIKTA partners (Mexico, Indonesia, Korea and Turkey)</w:t>
            </w:r>
            <w:r w:rsidRPr="002415CD">
              <w:rPr>
                <w:sz w:val="18"/>
                <w:szCs w:val="18"/>
                <w:lang w:val="en-AU"/>
              </w:rPr>
              <w:t xml:space="preserve"> surfaced </w:t>
            </w:r>
            <w:r w:rsidRPr="002415CD">
              <w:rPr>
                <w:sz w:val="18"/>
                <w:szCs w:val="18"/>
                <w:lang w:val="en-GB"/>
              </w:rPr>
              <w:t xml:space="preserve">innovative methods of educating children in emergency or crisis situations, particularly for girls. </w:t>
            </w:r>
          </w:p>
        </w:tc>
      </w:tr>
      <w:tr w:rsidR="000B5C86" w:rsidRPr="002415CD" w14:paraId="37A8F327" w14:textId="77777777" w:rsidTr="00302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330E21D3" w14:textId="77777777" w:rsidR="000B5C86" w:rsidRPr="002415CD" w:rsidRDefault="005D595F" w:rsidP="00302F77">
            <w:pPr>
              <w:spacing w:after="80"/>
              <w:rPr>
                <w:rFonts w:ascii="Calibri" w:hAnsi="Calibri"/>
                <w:color w:val="000000"/>
                <w:sz w:val="18"/>
                <w:szCs w:val="18"/>
                <w:lang w:val="en-AU"/>
              </w:rPr>
            </w:pPr>
            <w:hyperlink r:id="rId98" w:history="1">
              <w:r w:rsidR="000B5C86" w:rsidRPr="002415CD">
                <w:rPr>
                  <w:rStyle w:val="Hyperlink"/>
                  <w:rFonts w:ascii="Calibri" w:hAnsi="Calibri"/>
                  <w:bCs w:val="0"/>
                  <w:sz w:val="18"/>
                  <w:szCs w:val="18"/>
                  <w:lang w:val="en-AU"/>
                </w:rPr>
                <w:t>Pacific Humanitarian Challenge</w:t>
              </w:r>
            </w:hyperlink>
          </w:p>
        </w:tc>
        <w:tc>
          <w:tcPr>
            <w:tcW w:w="7992" w:type="dxa"/>
          </w:tcPr>
          <w:p w14:paraId="4034763E" w14:textId="77777777" w:rsidR="000B5C86" w:rsidRPr="002415CD" w:rsidRDefault="000B5C86" w:rsidP="00302F77">
            <w:pPr>
              <w:spacing w:after="80"/>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val="en-AU"/>
              </w:rPr>
            </w:pPr>
            <w:r w:rsidRPr="002415CD">
              <w:rPr>
                <w:rFonts w:ascii="Calibri" w:hAnsi="Calibri"/>
                <w:color w:val="000000"/>
                <w:sz w:val="18"/>
                <w:szCs w:val="18"/>
                <w:lang w:val="en-AU"/>
              </w:rPr>
              <w:t>The iXc’s Pacific Humanitarian Challenge provided AUD $2m of funding to innovators, entrepreneurs, designers, NGOs, and academics to pilot innovative solutions which support humanitarian response and disaster resilience.</w:t>
            </w:r>
          </w:p>
        </w:tc>
      </w:tr>
      <w:tr w:rsidR="000B5C86" w:rsidRPr="002415CD" w14:paraId="27765642" w14:textId="77777777" w:rsidTr="00302F77">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6784F5B5" w14:textId="77777777" w:rsidR="000B5C86" w:rsidRPr="002415CD" w:rsidRDefault="005D595F" w:rsidP="00302F77">
            <w:pPr>
              <w:rPr>
                <w:rFonts w:ascii="Calibri" w:hAnsi="Calibri"/>
                <w:color w:val="000000"/>
                <w:sz w:val="18"/>
                <w:szCs w:val="18"/>
                <w:lang w:val="en-AU"/>
              </w:rPr>
            </w:pPr>
            <w:hyperlink r:id="rId99" w:history="1">
              <w:r w:rsidR="000B5C86" w:rsidRPr="002415CD">
                <w:rPr>
                  <w:rStyle w:val="Hyperlink"/>
                  <w:rFonts w:ascii="Calibri" w:hAnsi="Calibri"/>
                  <w:sz w:val="18"/>
                  <w:szCs w:val="18"/>
                  <w:lang w:val="en-AU"/>
                </w:rPr>
                <w:t>Scaling Frontier Innovation</w:t>
              </w:r>
            </w:hyperlink>
          </w:p>
        </w:tc>
        <w:tc>
          <w:tcPr>
            <w:tcW w:w="7992" w:type="dxa"/>
          </w:tcPr>
          <w:p w14:paraId="72D31916" w14:textId="77777777" w:rsidR="000B5C86" w:rsidRPr="002415CD" w:rsidRDefault="000B5C86" w:rsidP="00302F77">
            <w:pPr>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15CD">
              <w:rPr>
                <w:rFonts w:ascii="Calibri" w:hAnsi="Calibri"/>
                <w:sz w:val="18"/>
                <w:szCs w:val="18"/>
              </w:rPr>
              <w:t>This AUD $15m program is supporting social enterprises to reach scale. There are four interconnected components of the program: Frontier Innovators</w:t>
            </w:r>
            <w:r w:rsidRPr="002415CD">
              <w:rPr>
                <w:rFonts w:ascii="Calibri" w:hAnsi="Calibri"/>
                <w:color w:val="231F20"/>
                <w:sz w:val="18"/>
                <w:szCs w:val="18"/>
                <w:shd w:val="clear" w:color="auto" w:fill="FFFFFF"/>
              </w:rPr>
              <w:t>,</w:t>
            </w:r>
            <w:r w:rsidRPr="002415CD">
              <w:rPr>
                <w:rStyle w:val="apple-converted-space"/>
                <w:rFonts w:ascii="Calibri" w:hAnsi="Calibri"/>
                <w:color w:val="231F20"/>
                <w:sz w:val="18"/>
                <w:szCs w:val="18"/>
                <w:shd w:val="clear" w:color="auto" w:fill="FFFFFF"/>
              </w:rPr>
              <w:t> </w:t>
            </w:r>
            <w:r w:rsidRPr="002415CD">
              <w:rPr>
                <w:rFonts w:ascii="Calibri" w:hAnsi="Calibri"/>
                <w:sz w:val="18"/>
                <w:szCs w:val="18"/>
              </w:rPr>
              <w:t>Frontier Incubators</w:t>
            </w:r>
            <w:r w:rsidRPr="002415CD">
              <w:rPr>
                <w:rFonts w:ascii="Calibri" w:hAnsi="Calibri"/>
                <w:color w:val="231F20"/>
                <w:sz w:val="18"/>
                <w:szCs w:val="18"/>
                <w:shd w:val="clear" w:color="auto" w:fill="FFFFFF"/>
              </w:rPr>
              <w:t>,</w:t>
            </w:r>
            <w:r w:rsidRPr="002415CD">
              <w:rPr>
                <w:rStyle w:val="apple-converted-space"/>
                <w:rFonts w:ascii="Calibri" w:hAnsi="Calibri"/>
                <w:color w:val="231F20"/>
                <w:sz w:val="18"/>
                <w:szCs w:val="18"/>
                <w:shd w:val="clear" w:color="auto" w:fill="FFFFFF"/>
              </w:rPr>
              <w:t> </w:t>
            </w:r>
            <w:r w:rsidRPr="002415CD">
              <w:rPr>
                <w:rFonts w:ascii="Calibri" w:hAnsi="Calibri"/>
                <w:sz w:val="18"/>
                <w:szCs w:val="18"/>
              </w:rPr>
              <w:t>Frontier Brokers</w:t>
            </w:r>
            <w:r w:rsidRPr="002415CD">
              <w:rPr>
                <w:rFonts w:ascii="Calibri" w:hAnsi="Calibri"/>
                <w:color w:val="231F20"/>
                <w:sz w:val="18"/>
                <w:szCs w:val="18"/>
                <w:shd w:val="clear" w:color="auto" w:fill="FFFFFF"/>
              </w:rPr>
              <w:t>, and</w:t>
            </w:r>
            <w:r w:rsidRPr="002415CD">
              <w:rPr>
                <w:rStyle w:val="apple-converted-space"/>
                <w:rFonts w:ascii="Calibri" w:hAnsi="Calibri"/>
                <w:color w:val="231F20"/>
                <w:sz w:val="18"/>
                <w:szCs w:val="18"/>
                <w:shd w:val="clear" w:color="auto" w:fill="FFFFFF"/>
              </w:rPr>
              <w:t> </w:t>
            </w:r>
            <w:r w:rsidRPr="002415CD">
              <w:rPr>
                <w:rFonts w:ascii="Calibri" w:hAnsi="Calibri"/>
                <w:sz w:val="18"/>
                <w:szCs w:val="18"/>
              </w:rPr>
              <w:t xml:space="preserve">Frontier Capital. </w:t>
            </w:r>
          </w:p>
        </w:tc>
      </w:tr>
      <w:tr w:rsidR="000B5C86" w:rsidRPr="002415CD" w14:paraId="1862DDDE" w14:textId="77777777" w:rsidTr="00302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01D7DFCC" w14:textId="77777777" w:rsidR="000B5C86" w:rsidRPr="002415CD" w:rsidRDefault="005D595F" w:rsidP="00302F77">
            <w:pPr>
              <w:rPr>
                <w:rFonts w:ascii="Calibri" w:hAnsi="Calibri"/>
                <w:color w:val="000000"/>
                <w:sz w:val="18"/>
                <w:szCs w:val="18"/>
                <w:lang w:val="en-AU"/>
              </w:rPr>
            </w:pPr>
            <w:hyperlink r:id="rId100" w:history="1">
              <w:r w:rsidR="000B5C86" w:rsidRPr="002415CD">
                <w:rPr>
                  <w:rStyle w:val="Hyperlink"/>
                  <w:rFonts w:ascii="Calibri" w:hAnsi="Calibri"/>
                  <w:bCs w:val="0"/>
                  <w:sz w:val="18"/>
                  <w:szCs w:val="18"/>
                  <w:lang w:val="en-AU"/>
                </w:rPr>
                <w:t>Tupaia</w:t>
              </w:r>
            </w:hyperlink>
          </w:p>
        </w:tc>
        <w:tc>
          <w:tcPr>
            <w:tcW w:w="7992" w:type="dxa"/>
          </w:tcPr>
          <w:p w14:paraId="51B142F7" w14:textId="77777777" w:rsidR="000B5C86" w:rsidRPr="002415CD" w:rsidRDefault="000B5C86" w:rsidP="00302F77">
            <w:pPr>
              <w:jc w:val="both"/>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lang w:val="en-AU"/>
              </w:rPr>
            </w:pPr>
            <w:r w:rsidRPr="002415CD">
              <w:rPr>
                <w:rFonts w:ascii="Calibri" w:eastAsia="Times New Roman" w:hAnsi="Calibri" w:cs="Times New Roman"/>
                <w:color w:val="000000"/>
                <w:sz w:val="18"/>
                <w:szCs w:val="18"/>
                <w:lang w:val="en-AU"/>
              </w:rPr>
              <w:t>Tupaia is an ADA-funded project which received AUD $2m to support its work strengthening supply chain management systems for essential medical supplies in the Pacific and Timor Leste.</w:t>
            </w:r>
          </w:p>
        </w:tc>
      </w:tr>
      <w:tr w:rsidR="000B5C86" w:rsidRPr="002415CD" w14:paraId="6156CEEA" w14:textId="77777777" w:rsidTr="00302F77">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23E659DA" w14:textId="77777777" w:rsidR="000B5C86" w:rsidRPr="002415CD" w:rsidRDefault="005D595F" w:rsidP="00302F77">
            <w:pPr>
              <w:rPr>
                <w:rFonts w:ascii="Calibri" w:hAnsi="Calibri"/>
                <w:color w:val="000000"/>
                <w:sz w:val="18"/>
                <w:szCs w:val="18"/>
                <w:lang w:val="en-AU"/>
              </w:rPr>
            </w:pPr>
            <w:hyperlink r:id="rId101" w:history="1">
              <w:r w:rsidR="000B5C86" w:rsidRPr="002415CD">
                <w:rPr>
                  <w:rStyle w:val="Hyperlink"/>
                  <w:rFonts w:ascii="Calibri" w:hAnsi="Calibri"/>
                  <w:sz w:val="18"/>
                  <w:szCs w:val="18"/>
                  <w:lang w:val="en-AU"/>
                </w:rPr>
                <w:t>World Mosquito Program</w:t>
              </w:r>
            </w:hyperlink>
            <w:r w:rsidR="000B5C86" w:rsidRPr="002415CD">
              <w:rPr>
                <w:rFonts w:ascii="Calibri" w:hAnsi="Calibri"/>
                <w:color w:val="000000"/>
                <w:sz w:val="18"/>
                <w:szCs w:val="18"/>
                <w:lang w:val="en-AU"/>
              </w:rPr>
              <w:t xml:space="preserve"> </w:t>
            </w:r>
          </w:p>
        </w:tc>
        <w:tc>
          <w:tcPr>
            <w:tcW w:w="7992" w:type="dxa"/>
          </w:tcPr>
          <w:p w14:paraId="5711CF9E" w14:textId="1F6917B2" w:rsidR="000B5C86" w:rsidRPr="002415CD" w:rsidRDefault="000B5C86" w:rsidP="00302F77">
            <w:pPr>
              <w:jc w:val="both"/>
              <w:cnfStyle w:val="000000000000" w:firstRow="0" w:lastRow="0" w:firstColumn="0" w:lastColumn="0" w:oddVBand="0" w:evenVBand="0" w:oddHBand="0" w:evenHBand="0" w:firstRowFirstColumn="0" w:firstRowLastColumn="0" w:lastRowFirstColumn="0" w:lastRowLastColumn="0"/>
              <w:rPr>
                <w:rFonts w:ascii="Calibri" w:hAnsi="Calibri"/>
                <w:sz w:val="18"/>
                <w:szCs w:val="18"/>
              </w:rPr>
            </w:pPr>
            <w:r w:rsidRPr="002415CD">
              <w:rPr>
                <w:rFonts w:ascii="Calibri" w:hAnsi="Calibri"/>
                <w:bCs/>
                <w:color w:val="000000"/>
                <w:sz w:val="18"/>
                <w:szCs w:val="18"/>
                <w:lang w:val="en-GB"/>
              </w:rPr>
              <w:t xml:space="preserve">The iXc is partnering with Monash University on this program </w:t>
            </w:r>
            <w:r w:rsidRPr="002415CD">
              <w:rPr>
                <w:rFonts w:ascii="Calibri" w:hAnsi="Calibri"/>
                <w:color w:val="000000"/>
                <w:sz w:val="18"/>
                <w:szCs w:val="18"/>
                <w:lang w:val="en-GB"/>
              </w:rPr>
              <w:t xml:space="preserve">which is pioneering the </w:t>
            </w:r>
            <w:r w:rsidRPr="002415CD">
              <w:rPr>
                <w:rFonts w:ascii="Calibri" w:hAnsi="Calibri"/>
                <w:i/>
                <w:color w:val="000000"/>
                <w:sz w:val="18"/>
                <w:szCs w:val="18"/>
                <w:lang w:val="en-GB"/>
              </w:rPr>
              <w:t>Wolbachia</w:t>
            </w:r>
            <w:r w:rsidRPr="002415CD">
              <w:rPr>
                <w:rFonts w:ascii="Calibri" w:hAnsi="Calibri"/>
                <w:color w:val="000000"/>
                <w:sz w:val="18"/>
                <w:szCs w:val="18"/>
                <w:lang w:val="en-GB"/>
              </w:rPr>
              <w:t xml:space="preserve"> method to eliminate dengue, chikungunya and Zika in Sri Lanka, Fiji, Kiribati and Vanuatu</w:t>
            </w:r>
            <w:r w:rsidRPr="002415CD">
              <w:rPr>
                <w:rFonts w:ascii="Calibri" w:hAnsi="Calibri"/>
                <w:bCs/>
                <w:color w:val="000000"/>
                <w:sz w:val="18"/>
                <w:szCs w:val="18"/>
                <w:lang w:val="en-GB"/>
              </w:rPr>
              <w:t>. Through the iXc, DFAT is investing up to AUD $17.97</w:t>
            </w:r>
            <w:r w:rsidR="001155A0" w:rsidRPr="002415CD">
              <w:rPr>
                <w:rFonts w:ascii="Calibri" w:hAnsi="Calibri"/>
                <w:bCs/>
                <w:color w:val="000000"/>
                <w:sz w:val="18"/>
                <w:szCs w:val="18"/>
                <w:lang w:val="en-GB"/>
              </w:rPr>
              <w:t xml:space="preserve">m </w:t>
            </w:r>
            <w:r w:rsidRPr="002415CD">
              <w:rPr>
                <w:rFonts w:ascii="Calibri" w:hAnsi="Calibri"/>
                <w:bCs/>
                <w:color w:val="000000"/>
                <w:sz w:val="18"/>
                <w:szCs w:val="18"/>
                <w:lang w:val="en-GB"/>
              </w:rPr>
              <w:t xml:space="preserve">over four years. </w:t>
            </w:r>
          </w:p>
        </w:tc>
      </w:tr>
      <w:tr w:rsidR="000B5C86" w:rsidRPr="002415CD" w14:paraId="68EBFEC1" w14:textId="77777777" w:rsidTr="00302F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A4CE423" w14:textId="77777777" w:rsidR="000B5C86" w:rsidRPr="002415CD" w:rsidRDefault="005D595F" w:rsidP="00302F77">
            <w:pPr>
              <w:rPr>
                <w:sz w:val="18"/>
                <w:szCs w:val="18"/>
              </w:rPr>
            </w:pPr>
            <w:hyperlink r:id="rId102" w:history="1">
              <w:r w:rsidR="000B5C86" w:rsidRPr="002415CD">
                <w:rPr>
                  <w:rStyle w:val="Hyperlink"/>
                  <w:bCs w:val="0"/>
                  <w:sz w:val="18"/>
                  <w:szCs w:val="18"/>
                </w:rPr>
                <w:t>XPRIZE</w:t>
              </w:r>
            </w:hyperlink>
          </w:p>
        </w:tc>
        <w:tc>
          <w:tcPr>
            <w:tcW w:w="7992" w:type="dxa"/>
          </w:tcPr>
          <w:p w14:paraId="52D8F997" w14:textId="77777777" w:rsidR="000B5C86" w:rsidRPr="002415CD" w:rsidRDefault="000B5C86" w:rsidP="00302F77">
            <w:pPr>
              <w:jc w:val="both"/>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sidRPr="002415CD">
              <w:rPr>
                <w:rFonts w:ascii="Calibri" w:hAnsi="Calibri"/>
                <w:bCs/>
                <w:color w:val="000000"/>
                <w:sz w:val="18"/>
                <w:szCs w:val="18"/>
              </w:rPr>
              <w:t>The iXc contributed AUD $2.3m towards the Water Abundance XPRIZE open challenge to use technology to improve affordable access to clean water in high humidity areas where water is currently unavailable or inaccessible.</w:t>
            </w:r>
          </w:p>
        </w:tc>
      </w:tr>
      <w:tr w:rsidR="000B5C86" w:rsidRPr="000373AA" w14:paraId="34ACF2D5" w14:textId="77777777" w:rsidTr="00302F77">
        <w:tc>
          <w:tcPr>
            <w:cnfStyle w:val="001000000000" w:firstRow="0" w:lastRow="0" w:firstColumn="1" w:lastColumn="0" w:oddVBand="0" w:evenVBand="0" w:oddHBand="0" w:evenHBand="0" w:firstRowFirstColumn="0" w:firstRowLastColumn="0" w:lastRowFirstColumn="0" w:lastRowLastColumn="0"/>
            <w:tcW w:w="1435" w:type="dxa"/>
            <w:tcBorders>
              <w:right w:val="none" w:sz="0" w:space="0" w:color="auto"/>
            </w:tcBorders>
          </w:tcPr>
          <w:p w14:paraId="40991757" w14:textId="77777777" w:rsidR="000B5C86" w:rsidRPr="002415CD" w:rsidRDefault="005D595F" w:rsidP="00302F77">
            <w:pPr>
              <w:rPr>
                <w:rFonts w:ascii="Calibri" w:hAnsi="Calibri"/>
                <w:sz w:val="18"/>
                <w:szCs w:val="18"/>
              </w:rPr>
            </w:pPr>
            <w:hyperlink r:id="rId103" w:history="1">
              <w:r w:rsidR="000B5C86" w:rsidRPr="002415CD">
                <w:rPr>
                  <w:rStyle w:val="Hyperlink"/>
                  <w:rFonts w:ascii="Calibri" w:hAnsi="Calibri"/>
                  <w:sz w:val="18"/>
                  <w:szCs w:val="18"/>
                  <w:lang w:val="en-AU"/>
                </w:rPr>
                <w:t>Youth, Skills &amp; Workforce Challenge</w:t>
              </w:r>
            </w:hyperlink>
          </w:p>
        </w:tc>
        <w:tc>
          <w:tcPr>
            <w:tcW w:w="7992" w:type="dxa"/>
          </w:tcPr>
          <w:p w14:paraId="4C214DA8" w14:textId="1D0AC39E" w:rsidR="000B5C86" w:rsidRPr="002415CD" w:rsidRDefault="000B5C86" w:rsidP="00302F77">
            <w:pPr>
              <w:jc w:val="both"/>
              <w:cnfStyle w:val="000000000000" w:firstRow="0" w:lastRow="0" w:firstColumn="0" w:lastColumn="0" w:oddVBand="0" w:evenVBand="0" w:oddHBand="0" w:evenHBand="0" w:firstRowFirstColumn="0" w:firstRowLastColumn="0" w:lastRowFirstColumn="0" w:lastRowLastColumn="0"/>
              <w:rPr>
                <w:rFonts w:ascii="Calibri" w:hAnsi="Calibri"/>
                <w:color w:val="000000"/>
                <w:sz w:val="18"/>
                <w:szCs w:val="18"/>
                <w:lang w:val="en-AU"/>
              </w:rPr>
            </w:pPr>
            <w:r w:rsidRPr="002415CD">
              <w:rPr>
                <w:rFonts w:ascii="Calibri" w:hAnsi="Calibri"/>
                <w:color w:val="000000"/>
                <w:sz w:val="18"/>
                <w:szCs w:val="18"/>
                <w:lang w:val="en-AU"/>
              </w:rPr>
              <w:t xml:space="preserve">The </w:t>
            </w:r>
            <w:hyperlink r:id="rId104" w:history="1">
              <w:r w:rsidRPr="002415CD">
                <w:rPr>
                  <w:rStyle w:val="Hyperlink"/>
                  <w:rFonts w:ascii="Calibri" w:hAnsi="Calibri"/>
                  <w:sz w:val="18"/>
                  <w:szCs w:val="18"/>
                  <w:lang w:val="en-AU"/>
                </w:rPr>
                <w:t>MIT Solve</w:t>
              </w:r>
            </w:hyperlink>
            <w:r w:rsidRPr="002415CD">
              <w:rPr>
                <w:rFonts w:ascii="Calibri" w:hAnsi="Calibri"/>
                <w:color w:val="000000"/>
                <w:sz w:val="18"/>
                <w:szCs w:val="18"/>
                <w:lang w:val="en-AU"/>
              </w:rPr>
              <w:t xml:space="preserve"> challenge – an AUD $4.1m iXc investment </w:t>
            </w:r>
            <w:r w:rsidR="001155A0" w:rsidRPr="002415CD">
              <w:rPr>
                <w:rFonts w:ascii="Calibri" w:hAnsi="Calibri"/>
                <w:color w:val="000000"/>
                <w:sz w:val="18"/>
                <w:szCs w:val="18"/>
                <w:lang w:val="en-AU"/>
              </w:rPr>
              <w:t>–</w:t>
            </w:r>
            <w:r w:rsidRPr="002415CD">
              <w:rPr>
                <w:rFonts w:ascii="Calibri" w:hAnsi="Calibri"/>
                <w:color w:val="000000"/>
                <w:sz w:val="18"/>
                <w:szCs w:val="18"/>
                <w:lang w:val="en-AU"/>
              </w:rPr>
              <w:t xml:space="preserve"> was run in partnership with the Atlassian Foundation. It focussed on </w:t>
            </w:r>
            <w:r w:rsidRPr="002415CD">
              <w:rPr>
                <w:rFonts w:ascii="Calibri" w:hAnsi="Calibri"/>
                <w:color w:val="000000"/>
                <w:sz w:val="18"/>
                <w:szCs w:val="18"/>
              </w:rPr>
              <w:t>preparing disadvantaged youth in the Indo-Pacific for the workforce of the future, with an emphasis on addressing the needs of women, girls, and people with a disability.</w:t>
            </w:r>
          </w:p>
        </w:tc>
      </w:tr>
    </w:tbl>
    <w:p w14:paraId="5F8A9CD5" w14:textId="40FF47E9" w:rsidR="003A0800" w:rsidRDefault="003A0800" w:rsidP="00CD11BB">
      <w:pPr>
        <w:spacing w:after="80"/>
        <w:jc w:val="both"/>
        <w:rPr>
          <w:rFonts w:ascii="Calibri" w:hAnsi="Calibri"/>
          <w:color w:val="313233" w:themeColor="text1"/>
          <w:sz w:val="20"/>
          <w:szCs w:val="20"/>
          <w:lang w:val="en-AU"/>
        </w:rPr>
      </w:pPr>
    </w:p>
    <w:p w14:paraId="3CC44384" w14:textId="77777777" w:rsidR="006D0C3F" w:rsidRDefault="006D0C3F" w:rsidP="00252D02">
      <w:pPr>
        <w:pStyle w:val="Heading2"/>
        <w:numPr>
          <w:ilvl w:val="0"/>
          <w:numId w:val="0"/>
        </w:numPr>
        <w:jc w:val="both"/>
        <w:rPr>
          <w:lang w:val="en-US"/>
        </w:rPr>
      </w:pPr>
      <w:r>
        <w:rPr>
          <w:lang w:val="en-US"/>
        </w:rPr>
        <w:br w:type="page"/>
      </w:r>
    </w:p>
    <w:p w14:paraId="2CFFA8F0" w14:textId="3CEF20A6" w:rsidR="002415CD" w:rsidRPr="00252D02" w:rsidRDefault="002415CD" w:rsidP="00252D02">
      <w:pPr>
        <w:pStyle w:val="Heading2"/>
        <w:numPr>
          <w:ilvl w:val="0"/>
          <w:numId w:val="0"/>
        </w:numPr>
        <w:jc w:val="both"/>
        <w:rPr>
          <w:lang w:val="en-US"/>
        </w:rPr>
      </w:pPr>
      <w:r w:rsidRPr="00252D02">
        <w:rPr>
          <w:lang w:val="en-US"/>
        </w:rPr>
        <w:lastRenderedPageBreak/>
        <w:t>Acknowledgments</w:t>
      </w:r>
    </w:p>
    <w:p w14:paraId="162B9AA3" w14:textId="37220CF4" w:rsidR="007A53C6" w:rsidRPr="007A53C6" w:rsidRDefault="007A53C6" w:rsidP="007A53C6">
      <w:pPr>
        <w:spacing w:after="80"/>
        <w:jc w:val="both"/>
        <w:rPr>
          <w:rFonts w:ascii="Calibri" w:hAnsi="Calibri"/>
          <w:sz w:val="20"/>
          <w:szCs w:val="20"/>
        </w:rPr>
      </w:pPr>
      <w:r w:rsidRPr="007A53C6">
        <w:rPr>
          <w:rFonts w:ascii="Calibri" w:hAnsi="Calibri"/>
          <w:sz w:val="20"/>
          <w:szCs w:val="20"/>
        </w:rPr>
        <w:t>This report was prepared by Olivia Elson, Thomas Feeny and Luke Heinkel at Results for Development (R4D) and is based</w:t>
      </w:r>
      <w:r>
        <w:rPr>
          <w:rFonts w:ascii="Calibri" w:hAnsi="Calibri"/>
          <w:sz w:val="20"/>
          <w:szCs w:val="20"/>
        </w:rPr>
        <w:t xml:space="preserve"> </w:t>
      </w:r>
      <w:r w:rsidRPr="007A53C6">
        <w:rPr>
          <w:rFonts w:ascii="Calibri" w:hAnsi="Calibri"/>
          <w:sz w:val="20"/>
          <w:szCs w:val="20"/>
        </w:rPr>
        <w:t>on data collection and analysis by the authors with additional support from R4D colleagues Praneetha Vissapragada and</w:t>
      </w:r>
      <w:r>
        <w:rPr>
          <w:rFonts w:ascii="Calibri" w:hAnsi="Calibri"/>
          <w:sz w:val="20"/>
          <w:szCs w:val="20"/>
        </w:rPr>
        <w:t xml:space="preserve"> </w:t>
      </w:r>
      <w:r w:rsidRPr="007A53C6">
        <w:rPr>
          <w:rFonts w:ascii="Calibri" w:hAnsi="Calibri"/>
          <w:sz w:val="20"/>
          <w:szCs w:val="20"/>
        </w:rPr>
        <w:t>Morgan Benson.</w:t>
      </w:r>
    </w:p>
    <w:p w14:paraId="5D6F729B" w14:textId="29980A6D" w:rsidR="00A506D1" w:rsidRDefault="007A53C6" w:rsidP="007A53C6">
      <w:pPr>
        <w:spacing w:after="80"/>
        <w:jc w:val="both"/>
        <w:rPr>
          <w:rFonts w:ascii="Calibri" w:hAnsi="Calibri"/>
          <w:sz w:val="20"/>
          <w:szCs w:val="20"/>
        </w:rPr>
      </w:pPr>
      <w:r w:rsidRPr="007A53C6">
        <w:rPr>
          <w:rFonts w:ascii="Calibri" w:hAnsi="Calibri"/>
          <w:sz w:val="20"/>
          <w:szCs w:val="20"/>
        </w:rPr>
        <w:t>The R4D team wishes to thank the many thought partners, collaborators, and interview respondents who helped this</w:t>
      </w:r>
      <w:r>
        <w:rPr>
          <w:rFonts w:ascii="Calibri" w:hAnsi="Calibri"/>
          <w:sz w:val="20"/>
          <w:szCs w:val="20"/>
        </w:rPr>
        <w:t xml:space="preserve"> </w:t>
      </w:r>
      <w:r w:rsidRPr="007A53C6">
        <w:rPr>
          <w:rFonts w:ascii="Calibri" w:hAnsi="Calibri"/>
          <w:sz w:val="20"/>
          <w:szCs w:val="20"/>
        </w:rPr>
        <w:t>report become a reality. We would like to express particular gratitude to the staff at the innovationXchange (iXc) for their</w:t>
      </w:r>
      <w:r>
        <w:rPr>
          <w:rFonts w:ascii="Calibri" w:hAnsi="Calibri"/>
          <w:sz w:val="20"/>
          <w:szCs w:val="20"/>
        </w:rPr>
        <w:t xml:space="preserve"> </w:t>
      </w:r>
      <w:r w:rsidRPr="007A53C6">
        <w:rPr>
          <w:rFonts w:ascii="Calibri" w:hAnsi="Calibri"/>
          <w:sz w:val="20"/>
          <w:szCs w:val="20"/>
        </w:rPr>
        <w:t>contributions to the original data and for their openness to engage in reflective practice. We would also like to thank our</w:t>
      </w:r>
      <w:r>
        <w:rPr>
          <w:rFonts w:ascii="Calibri" w:hAnsi="Calibri"/>
          <w:sz w:val="20"/>
          <w:szCs w:val="20"/>
        </w:rPr>
        <w:t xml:space="preserve"> </w:t>
      </w:r>
      <w:r w:rsidRPr="007A53C6">
        <w:rPr>
          <w:rFonts w:ascii="Calibri" w:hAnsi="Calibri"/>
          <w:sz w:val="20"/>
          <w:szCs w:val="20"/>
        </w:rPr>
        <w:t>many interview respondents, including members of the iXc and their partners at DFAT’s Canberra offices and its country</w:t>
      </w:r>
      <w:r>
        <w:rPr>
          <w:rFonts w:ascii="Calibri" w:hAnsi="Calibri"/>
          <w:sz w:val="20"/>
          <w:szCs w:val="20"/>
        </w:rPr>
        <w:t xml:space="preserve"> </w:t>
      </w:r>
      <w:r w:rsidRPr="007A53C6">
        <w:rPr>
          <w:rFonts w:ascii="Calibri" w:hAnsi="Calibri"/>
          <w:sz w:val="20"/>
          <w:szCs w:val="20"/>
        </w:rPr>
        <w:t>posts around the world. Finally, we would like to thank the iXc’s private sector and non-profit partners for their willingness</w:t>
      </w:r>
      <w:r>
        <w:rPr>
          <w:rFonts w:ascii="Calibri" w:hAnsi="Calibri"/>
          <w:sz w:val="20"/>
          <w:szCs w:val="20"/>
        </w:rPr>
        <w:t xml:space="preserve"> </w:t>
      </w:r>
      <w:r w:rsidRPr="007A53C6">
        <w:rPr>
          <w:rFonts w:ascii="Calibri" w:hAnsi="Calibri"/>
          <w:sz w:val="20"/>
          <w:szCs w:val="20"/>
        </w:rPr>
        <w:t>to speak with us. We could not have pulled together these findings without all of your valuable contributions.</w:t>
      </w:r>
    </w:p>
    <w:p w14:paraId="067C6AB3" w14:textId="6E1618AF" w:rsidR="00A506D1" w:rsidRDefault="00A506D1" w:rsidP="002415CD">
      <w:pPr>
        <w:spacing w:after="80"/>
        <w:jc w:val="both"/>
        <w:rPr>
          <w:rFonts w:ascii="Calibri" w:hAnsi="Calibri"/>
          <w:sz w:val="20"/>
          <w:szCs w:val="20"/>
        </w:rPr>
      </w:pPr>
    </w:p>
    <w:p w14:paraId="761BCDD6" w14:textId="48CC173B" w:rsidR="00A506D1" w:rsidRPr="00A506D1" w:rsidRDefault="00A506D1" w:rsidP="00A506D1">
      <w:pPr>
        <w:spacing w:after="80"/>
        <w:jc w:val="both"/>
        <w:rPr>
          <w:rFonts w:ascii="Calibri" w:hAnsi="Calibri"/>
          <w:sz w:val="20"/>
          <w:szCs w:val="20"/>
        </w:rPr>
      </w:pPr>
      <w:r w:rsidRPr="007A53C6">
        <w:rPr>
          <w:rFonts w:ascii="Calibri" w:hAnsi="Calibri"/>
          <w:b/>
          <w:sz w:val="20"/>
          <w:szCs w:val="20"/>
        </w:rPr>
        <w:t>Results for Development</w:t>
      </w:r>
      <w:r w:rsidRPr="00A506D1">
        <w:rPr>
          <w:rFonts w:ascii="Calibri" w:hAnsi="Calibri"/>
          <w:sz w:val="20"/>
          <w:szCs w:val="20"/>
        </w:rPr>
        <w:t xml:space="preserve"> (R4D) is a leading non-profit global development partner. We collaborate with change agents</w:t>
      </w:r>
      <w:r>
        <w:rPr>
          <w:rFonts w:ascii="Calibri" w:hAnsi="Calibri"/>
          <w:sz w:val="20"/>
          <w:szCs w:val="20"/>
        </w:rPr>
        <w:t xml:space="preserve"> </w:t>
      </w:r>
      <w:r w:rsidRPr="00A506D1">
        <w:rPr>
          <w:rFonts w:ascii="Calibri" w:hAnsi="Calibri"/>
          <w:sz w:val="20"/>
          <w:szCs w:val="20"/>
        </w:rPr>
        <w:t>around the world — government officials, civil society leaders and social innovators — to create strong systems that</w:t>
      </w:r>
      <w:r>
        <w:rPr>
          <w:rFonts w:ascii="Calibri" w:hAnsi="Calibri"/>
          <w:sz w:val="20"/>
          <w:szCs w:val="20"/>
        </w:rPr>
        <w:t xml:space="preserve"> </w:t>
      </w:r>
      <w:r w:rsidRPr="00A506D1">
        <w:rPr>
          <w:rFonts w:ascii="Calibri" w:hAnsi="Calibri"/>
          <w:sz w:val="20"/>
          <w:szCs w:val="20"/>
        </w:rPr>
        <w:t>support healthy, educated people. We help our partners move from knowing their goal to knowing how to reach it. We</w:t>
      </w:r>
      <w:r>
        <w:rPr>
          <w:rFonts w:ascii="Calibri" w:hAnsi="Calibri"/>
          <w:sz w:val="20"/>
          <w:szCs w:val="20"/>
        </w:rPr>
        <w:t xml:space="preserve"> </w:t>
      </w:r>
      <w:r w:rsidRPr="00A506D1">
        <w:rPr>
          <w:rFonts w:ascii="Calibri" w:hAnsi="Calibri"/>
          <w:sz w:val="20"/>
          <w:szCs w:val="20"/>
        </w:rPr>
        <w:t>combine global expertise in health, education and nutrition with analytic rigor, practical support for decision-making and</w:t>
      </w:r>
      <w:r>
        <w:rPr>
          <w:rFonts w:ascii="Calibri" w:hAnsi="Calibri"/>
          <w:sz w:val="20"/>
          <w:szCs w:val="20"/>
        </w:rPr>
        <w:t xml:space="preserve"> </w:t>
      </w:r>
      <w:r w:rsidRPr="00A506D1">
        <w:rPr>
          <w:rFonts w:ascii="Calibri" w:hAnsi="Calibri"/>
          <w:sz w:val="20"/>
          <w:szCs w:val="20"/>
        </w:rPr>
        <w:t>implementation and access to peer problem-solving networks. Together with our partners, we build self-sustaining systems</w:t>
      </w:r>
      <w:r>
        <w:rPr>
          <w:rFonts w:ascii="Calibri" w:hAnsi="Calibri"/>
          <w:sz w:val="20"/>
          <w:szCs w:val="20"/>
        </w:rPr>
        <w:t xml:space="preserve"> </w:t>
      </w:r>
      <w:r w:rsidRPr="00A506D1">
        <w:rPr>
          <w:rFonts w:ascii="Calibri" w:hAnsi="Calibri"/>
          <w:sz w:val="20"/>
          <w:szCs w:val="20"/>
        </w:rPr>
        <w:t>that serve everyone and deliver lasting results. Then we share what we learn so others can achieve results for development,</w:t>
      </w:r>
      <w:r>
        <w:rPr>
          <w:rFonts w:ascii="Calibri" w:hAnsi="Calibri"/>
          <w:sz w:val="20"/>
          <w:szCs w:val="20"/>
        </w:rPr>
        <w:t xml:space="preserve"> </w:t>
      </w:r>
      <w:r w:rsidRPr="00A506D1">
        <w:rPr>
          <w:rFonts w:ascii="Calibri" w:hAnsi="Calibri"/>
          <w:sz w:val="20"/>
          <w:szCs w:val="20"/>
        </w:rPr>
        <w:t>too. www.R4D.org</w:t>
      </w:r>
    </w:p>
    <w:p w14:paraId="63726114" w14:textId="77777777" w:rsidR="007A53C6" w:rsidRDefault="007A53C6" w:rsidP="00A506D1">
      <w:pPr>
        <w:spacing w:after="80"/>
        <w:jc w:val="both"/>
        <w:rPr>
          <w:rFonts w:ascii="Calibri" w:hAnsi="Calibri"/>
          <w:sz w:val="20"/>
          <w:szCs w:val="20"/>
        </w:rPr>
      </w:pPr>
    </w:p>
    <w:p w14:paraId="60BDF299" w14:textId="14048F45" w:rsidR="00A506D1" w:rsidRDefault="007A53C6" w:rsidP="005A6677">
      <w:pPr>
        <w:spacing w:after="80"/>
        <w:jc w:val="both"/>
        <w:rPr>
          <w:rFonts w:ascii="Calibri" w:hAnsi="Calibri"/>
          <w:sz w:val="20"/>
          <w:szCs w:val="20"/>
        </w:rPr>
      </w:pPr>
      <w:r w:rsidRPr="007A53C6">
        <w:rPr>
          <w:rFonts w:ascii="Calibri" w:hAnsi="Calibri"/>
          <w:b/>
          <w:sz w:val="20"/>
          <w:szCs w:val="20"/>
        </w:rPr>
        <w:t>C</w:t>
      </w:r>
      <w:r w:rsidR="00A506D1" w:rsidRPr="007A53C6">
        <w:rPr>
          <w:rFonts w:ascii="Calibri" w:hAnsi="Calibri"/>
          <w:b/>
          <w:sz w:val="20"/>
          <w:szCs w:val="20"/>
        </w:rPr>
        <w:t>itation:</w:t>
      </w:r>
      <w:r w:rsidR="00A506D1" w:rsidRPr="00A506D1">
        <w:rPr>
          <w:rFonts w:ascii="Calibri" w:hAnsi="Calibri"/>
          <w:sz w:val="20"/>
          <w:szCs w:val="20"/>
        </w:rPr>
        <w:t xml:space="preserve"> </w:t>
      </w:r>
      <w:r w:rsidR="005A6677" w:rsidRPr="005A6677">
        <w:rPr>
          <w:rFonts w:ascii="Calibri" w:hAnsi="Calibri"/>
          <w:sz w:val="20"/>
          <w:szCs w:val="20"/>
        </w:rPr>
        <w:t>Elson, O., Feeny, T., and Heinkel, L. (2019). Experimentation, Partnership and Learning: Insights from a review of the</w:t>
      </w:r>
      <w:r w:rsidR="005A6677">
        <w:rPr>
          <w:rFonts w:ascii="Calibri" w:hAnsi="Calibri"/>
          <w:sz w:val="20"/>
          <w:szCs w:val="20"/>
        </w:rPr>
        <w:t xml:space="preserve"> </w:t>
      </w:r>
      <w:r w:rsidR="005A6677" w:rsidRPr="005A6677">
        <w:rPr>
          <w:rFonts w:ascii="Calibri" w:hAnsi="Calibri"/>
          <w:sz w:val="20"/>
          <w:szCs w:val="20"/>
        </w:rPr>
        <w:t>first three years of DFAT’s innovationXchange. Washington, DC: Results for Development</w:t>
      </w:r>
    </w:p>
    <w:p w14:paraId="1A6F2A73" w14:textId="0DF8F60D" w:rsidR="0034739C" w:rsidRDefault="0034739C" w:rsidP="00A506D1">
      <w:pPr>
        <w:spacing w:after="80"/>
        <w:jc w:val="both"/>
        <w:rPr>
          <w:rFonts w:ascii="Calibri" w:hAnsi="Calibri"/>
          <w:sz w:val="20"/>
          <w:szCs w:val="20"/>
        </w:rPr>
      </w:pPr>
    </w:p>
    <w:p w14:paraId="23041C1A" w14:textId="6FB6E0F1" w:rsidR="005A6677" w:rsidRDefault="005A6677" w:rsidP="00A506D1">
      <w:pPr>
        <w:spacing w:after="80"/>
        <w:jc w:val="both"/>
        <w:rPr>
          <w:rFonts w:ascii="Calibri" w:hAnsi="Calibri"/>
          <w:sz w:val="20"/>
          <w:szCs w:val="20"/>
        </w:rPr>
      </w:pPr>
    </w:p>
    <w:p w14:paraId="55E0730A" w14:textId="77777777" w:rsidR="005A6677" w:rsidRDefault="005A6677" w:rsidP="00A506D1">
      <w:pPr>
        <w:spacing w:after="80"/>
        <w:jc w:val="both"/>
        <w:rPr>
          <w:rFonts w:ascii="Calibri" w:hAnsi="Calibri"/>
          <w:sz w:val="20"/>
          <w:szCs w:val="20"/>
        </w:rPr>
      </w:pPr>
    </w:p>
    <w:p w14:paraId="106F8B25" w14:textId="2239BD52" w:rsidR="0034739C" w:rsidRDefault="0034739C" w:rsidP="00A506D1">
      <w:pPr>
        <w:spacing w:after="80"/>
        <w:jc w:val="both"/>
        <w:rPr>
          <w:rFonts w:ascii="Calibri" w:hAnsi="Calibri"/>
          <w:sz w:val="20"/>
          <w:szCs w:val="20"/>
        </w:rPr>
      </w:pPr>
    </w:p>
    <w:p w14:paraId="582060BA" w14:textId="77777777" w:rsidR="0034739C" w:rsidRPr="0034739C" w:rsidRDefault="0034739C" w:rsidP="0034739C">
      <w:pPr>
        <w:spacing w:after="80"/>
        <w:jc w:val="both"/>
        <w:rPr>
          <w:rFonts w:ascii="Calibri" w:hAnsi="Calibri"/>
          <w:sz w:val="20"/>
          <w:szCs w:val="20"/>
        </w:rPr>
      </w:pPr>
      <w:r w:rsidRPr="0034739C">
        <w:rPr>
          <w:rFonts w:ascii="Calibri" w:hAnsi="Calibri"/>
          <w:sz w:val="20"/>
          <w:szCs w:val="20"/>
        </w:rPr>
        <w:t>Copyright © 2019</w:t>
      </w:r>
    </w:p>
    <w:p w14:paraId="6D2BAC4A" w14:textId="77777777" w:rsidR="0034739C" w:rsidRPr="0034739C" w:rsidRDefault="0034739C" w:rsidP="0034739C">
      <w:pPr>
        <w:spacing w:after="80"/>
        <w:jc w:val="both"/>
        <w:rPr>
          <w:rFonts w:ascii="Calibri" w:hAnsi="Calibri"/>
          <w:sz w:val="20"/>
          <w:szCs w:val="20"/>
        </w:rPr>
      </w:pPr>
      <w:r w:rsidRPr="0034739C">
        <w:rPr>
          <w:rFonts w:ascii="Calibri" w:hAnsi="Calibri"/>
          <w:sz w:val="20"/>
          <w:szCs w:val="20"/>
        </w:rPr>
        <w:t>Results for Development</w:t>
      </w:r>
    </w:p>
    <w:p w14:paraId="1C20B314" w14:textId="3F7D823A" w:rsidR="0034739C" w:rsidRPr="004353AF" w:rsidRDefault="0034739C" w:rsidP="0034739C">
      <w:pPr>
        <w:spacing w:after="80"/>
        <w:jc w:val="both"/>
        <w:rPr>
          <w:rFonts w:ascii="Calibri" w:hAnsi="Calibri"/>
          <w:sz w:val="20"/>
          <w:szCs w:val="20"/>
        </w:rPr>
      </w:pPr>
      <w:r w:rsidRPr="0034739C">
        <w:rPr>
          <w:rFonts w:ascii="Calibri" w:hAnsi="Calibri"/>
          <w:sz w:val="20"/>
          <w:szCs w:val="20"/>
        </w:rPr>
        <w:t>1111 19th Street, N.W., Suite 700, Washington, DC 20036</w:t>
      </w:r>
    </w:p>
    <w:sectPr w:rsidR="0034739C" w:rsidRPr="004353AF" w:rsidSect="00E56E12">
      <w:type w:val="continuous"/>
      <w:pgSz w:w="12240" w:h="15840"/>
      <w:pgMar w:top="1098" w:right="1440" w:bottom="130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6EC23" w14:textId="77777777" w:rsidR="00D065CF" w:rsidRDefault="00D065CF" w:rsidP="00827EF9">
      <w:r>
        <w:separator/>
      </w:r>
    </w:p>
  </w:endnote>
  <w:endnote w:type="continuationSeparator" w:id="0">
    <w:p w14:paraId="57851A27" w14:textId="77777777" w:rsidR="00D065CF" w:rsidRDefault="00D065CF" w:rsidP="00827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5194835"/>
      <w:docPartObj>
        <w:docPartGallery w:val="Page Numbers (Bottom of Page)"/>
        <w:docPartUnique/>
      </w:docPartObj>
    </w:sdtPr>
    <w:sdtEndPr>
      <w:rPr>
        <w:rStyle w:val="PageNumber"/>
      </w:rPr>
    </w:sdtEndPr>
    <w:sdtContent>
      <w:p w14:paraId="5D2DEA11" w14:textId="5CF73A5E" w:rsidR="00302F77" w:rsidRDefault="00302F77" w:rsidP="00520B7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4F7AFC" w14:textId="77777777" w:rsidR="00302F77" w:rsidRDefault="00302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0"/>
        <w:szCs w:val="20"/>
      </w:rPr>
      <w:id w:val="1853835422"/>
      <w:docPartObj>
        <w:docPartGallery w:val="Page Numbers (Bottom of Page)"/>
        <w:docPartUnique/>
      </w:docPartObj>
    </w:sdtPr>
    <w:sdtEndPr>
      <w:rPr>
        <w:rStyle w:val="PageNumber"/>
      </w:rPr>
    </w:sdtEndPr>
    <w:sdtContent>
      <w:p w14:paraId="66BB67FC" w14:textId="7292E102" w:rsidR="00302F77" w:rsidRPr="00622E27" w:rsidRDefault="00302F77" w:rsidP="00520B7C">
        <w:pPr>
          <w:pStyle w:val="Footer"/>
          <w:framePr w:wrap="none" w:vAnchor="text" w:hAnchor="margin" w:xAlign="center" w:y="1"/>
          <w:rPr>
            <w:rStyle w:val="PageNumber"/>
            <w:sz w:val="20"/>
            <w:szCs w:val="20"/>
          </w:rPr>
        </w:pPr>
        <w:r w:rsidRPr="00622E27">
          <w:rPr>
            <w:rStyle w:val="PageNumber"/>
            <w:sz w:val="20"/>
            <w:szCs w:val="20"/>
          </w:rPr>
          <w:fldChar w:fldCharType="begin"/>
        </w:r>
        <w:r w:rsidRPr="00622E27">
          <w:rPr>
            <w:rStyle w:val="PageNumber"/>
            <w:sz w:val="20"/>
            <w:szCs w:val="20"/>
          </w:rPr>
          <w:instrText xml:space="preserve"> PAGE </w:instrText>
        </w:r>
        <w:r w:rsidRPr="00622E27">
          <w:rPr>
            <w:rStyle w:val="PageNumber"/>
            <w:sz w:val="20"/>
            <w:szCs w:val="20"/>
          </w:rPr>
          <w:fldChar w:fldCharType="separate"/>
        </w:r>
        <w:r>
          <w:rPr>
            <w:rStyle w:val="PageNumber"/>
            <w:noProof/>
            <w:sz w:val="20"/>
            <w:szCs w:val="20"/>
          </w:rPr>
          <w:t>16</w:t>
        </w:r>
        <w:r w:rsidRPr="00622E27">
          <w:rPr>
            <w:rStyle w:val="PageNumber"/>
            <w:sz w:val="20"/>
            <w:szCs w:val="20"/>
          </w:rPr>
          <w:fldChar w:fldCharType="end"/>
        </w:r>
      </w:p>
    </w:sdtContent>
  </w:sdt>
  <w:p w14:paraId="377D8DF3" w14:textId="77777777" w:rsidR="00302F77" w:rsidRPr="00622E27" w:rsidRDefault="00302F77">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C3116" w14:textId="77777777" w:rsidR="0065529D" w:rsidRDefault="00655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EEFE6" w14:textId="77777777" w:rsidR="00D065CF" w:rsidRDefault="00D065CF" w:rsidP="00827EF9">
      <w:r>
        <w:separator/>
      </w:r>
    </w:p>
  </w:footnote>
  <w:footnote w:type="continuationSeparator" w:id="0">
    <w:p w14:paraId="01F80F8E" w14:textId="77777777" w:rsidR="00D065CF" w:rsidRDefault="00D065CF" w:rsidP="00827EF9">
      <w:r>
        <w:continuationSeparator/>
      </w:r>
    </w:p>
  </w:footnote>
  <w:footnote w:id="1">
    <w:p w14:paraId="2AF366D7" w14:textId="6787A55E" w:rsidR="00302F77" w:rsidRPr="002D65B5" w:rsidRDefault="00302F77" w:rsidP="00263AD3">
      <w:pPr>
        <w:pStyle w:val="FootnoteText"/>
        <w:rPr>
          <w:sz w:val="16"/>
          <w:szCs w:val="16"/>
        </w:rPr>
      </w:pPr>
      <w:r w:rsidRPr="002D65B5">
        <w:rPr>
          <w:rStyle w:val="FootnoteReference"/>
          <w:sz w:val="16"/>
          <w:szCs w:val="16"/>
        </w:rPr>
        <w:footnoteRef/>
      </w:r>
      <w:r w:rsidRPr="002D65B5">
        <w:rPr>
          <w:sz w:val="16"/>
          <w:szCs w:val="16"/>
        </w:rPr>
        <w:t xml:space="preserve"> Mcgann, Michael &amp; Lewis, Jenny &amp; Blomkamp, Emma (2018), Mapping Public Sector Innovation Units in Australia and New Zealand 2018 Survey Report, </w:t>
      </w:r>
      <w:hyperlink r:id="rId1" w:history="1">
        <w:r w:rsidRPr="002D65B5">
          <w:rPr>
            <w:rStyle w:val="Hyperlink"/>
            <w:sz w:val="16"/>
            <w:szCs w:val="16"/>
          </w:rPr>
          <w:t>https://researchgate.net/publication/324792370</w:t>
        </w:r>
      </w:hyperlink>
      <w:r w:rsidR="005A72A1" w:rsidRPr="005A72A1">
        <w:rPr>
          <w:rStyle w:val="Hyperlink"/>
          <w:color w:val="auto"/>
          <w:sz w:val="16"/>
          <w:szCs w:val="16"/>
          <w:u w:val="none"/>
        </w:rPr>
        <w:t>.</w:t>
      </w:r>
    </w:p>
  </w:footnote>
  <w:footnote w:id="2">
    <w:p w14:paraId="36345EBF" w14:textId="59E00267" w:rsidR="00302F77" w:rsidRPr="002D65B5" w:rsidRDefault="00302F77">
      <w:pPr>
        <w:pStyle w:val="FootnoteText"/>
        <w:rPr>
          <w:sz w:val="16"/>
          <w:szCs w:val="16"/>
        </w:rPr>
      </w:pPr>
      <w:r w:rsidRPr="002D65B5">
        <w:rPr>
          <w:rStyle w:val="FootnoteReference"/>
          <w:sz w:val="16"/>
          <w:szCs w:val="16"/>
        </w:rPr>
        <w:footnoteRef/>
      </w:r>
      <w:r w:rsidRPr="002D65B5">
        <w:rPr>
          <w:sz w:val="16"/>
          <w:szCs w:val="16"/>
        </w:rPr>
        <w:t xml:space="preserve"> See Section 7 ‘Building Culture and Capability’ for more detail</w:t>
      </w:r>
      <w:r w:rsidR="005A72A1">
        <w:rPr>
          <w:sz w:val="16"/>
          <w:szCs w:val="16"/>
        </w:rPr>
        <w:t>.</w:t>
      </w:r>
    </w:p>
  </w:footnote>
  <w:footnote w:id="3">
    <w:p w14:paraId="236412A9" w14:textId="01C921E8" w:rsidR="00302F77" w:rsidRPr="002D65B5" w:rsidRDefault="00302F77">
      <w:pPr>
        <w:pStyle w:val="FootnoteText"/>
        <w:rPr>
          <w:sz w:val="16"/>
          <w:szCs w:val="16"/>
        </w:rPr>
      </w:pPr>
      <w:r w:rsidRPr="002D65B5">
        <w:rPr>
          <w:rStyle w:val="FootnoteReference"/>
          <w:sz w:val="16"/>
          <w:szCs w:val="16"/>
        </w:rPr>
        <w:footnoteRef/>
      </w:r>
      <w:r w:rsidRPr="002D65B5">
        <w:rPr>
          <w:sz w:val="16"/>
          <w:szCs w:val="16"/>
        </w:rPr>
        <w:t xml:space="preserve"> See Section 9 ‘Approaches to monitoring, evaluation and learning’ for more detail</w:t>
      </w:r>
      <w:r w:rsidR="005A72A1">
        <w:rPr>
          <w:sz w:val="16"/>
          <w:szCs w:val="16"/>
        </w:rPr>
        <w:t>.</w:t>
      </w:r>
    </w:p>
  </w:footnote>
  <w:footnote w:id="4">
    <w:p w14:paraId="6A6699D8" w14:textId="30DEDDE0" w:rsidR="00302F77" w:rsidRPr="002D65B5" w:rsidRDefault="00302F77">
      <w:pPr>
        <w:pStyle w:val="FootnoteText"/>
        <w:rPr>
          <w:sz w:val="16"/>
          <w:szCs w:val="16"/>
        </w:rPr>
      </w:pPr>
      <w:r w:rsidRPr="002D65B5">
        <w:rPr>
          <w:rStyle w:val="FootnoteReference"/>
          <w:sz w:val="16"/>
          <w:szCs w:val="16"/>
        </w:rPr>
        <w:footnoteRef/>
      </w:r>
      <w:r w:rsidRPr="002D65B5">
        <w:rPr>
          <w:sz w:val="16"/>
          <w:szCs w:val="16"/>
        </w:rPr>
        <w:t xml:space="preserve"> </w:t>
      </w:r>
      <w:r w:rsidRPr="002D65B5">
        <w:rPr>
          <w:rFonts w:ascii="Calibri" w:hAnsi="Calibri"/>
          <w:color w:val="000000"/>
          <w:sz w:val="16"/>
          <w:szCs w:val="16"/>
          <w:lang w:val="en-AU"/>
        </w:rPr>
        <w:t xml:space="preserve">The International Development Innovation Alliance (IDIA) is a collaborative learning alliance of thirteen agencies with the goal of ‘actively promoting and advancing innovation as a means to help achieve sustainable development’. </w:t>
      </w:r>
    </w:p>
  </w:footnote>
  <w:footnote w:id="5">
    <w:p w14:paraId="03D1DADE" w14:textId="1C2677C2" w:rsidR="00302F77" w:rsidRPr="002D65B5" w:rsidRDefault="00302F77" w:rsidP="008D4D03">
      <w:pPr>
        <w:pStyle w:val="FootnoteText"/>
        <w:rPr>
          <w:sz w:val="16"/>
          <w:szCs w:val="16"/>
          <w:lang w:val="en-AU"/>
        </w:rPr>
      </w:pPr>
      <w:r w:rsidRPr="002D65B5">
        <w:rPr>
          <w:rStyle w:val="FootnoteReference"/>
          <w:sz w:val="16"/>
          <w:szCs w:val="16"/>
        </w:rPr>
        <w:footnoteRef/>
      </w:r>
      <w:r w:rsidRPr="002D65B5">
        <w:rPr>
          <w:sz w:val="16"/>
          <w:szCs w:val="16"/>
        </w:rPr>
        <w:t xml:space="preserve"> DFAT (2015), </w:t>
      </w:r>
      <w:r w:rsidRPr="002D65B5">
        <w:rPr>
          <w:sz w:val="16"/>
          <w:szCs w:val="16"/>
          <w:lang w:val="en-AU"/>
        </w:rPr>
        <w:t>DFAT Innovation Strategy: A more innovative DFAT</w:t>
      </w:r>
      <w:r w:rsidR="005A72A1">
        <w:rPr>
          <w:sz w:val="16"/>
          <w:szCs w:val="16"/>
          <w:lang w:val="en-AU"/>
        </w:rPr>
        <w:t>.</w:t>
      </w:r>
    </w:p>
  </w:footnote>
  <w:footnote w:id="6">
    <w:p w14:paraId="391658B1" w14:textId="397530C1" w:rsidR="00302F77" w:rsidRPr="002D65B5" w:rsidRDefault="00302F77">
      <w:pPr>
        <w:pStyle w:val="FootnoteText"/>
        <w:rPr>
          <w:sz w:val="16"/>
          <w:szCs w:val="16"/>
        </w:rPr>
      </w:pPr>
      <w:r w:rsidRPr="002D65B5">
        <w:rPr>
          <w:rStyle w:val="FootnoteReference"/>
          <w:sz w:val="16"/>
          <w:szCs w:val="16"/>
        </w:rPr>
        <w:footnoteRef/>
      </w:r>
      <w:r w:rsidRPr="002D65B5">
        <w:rPr>
          <w:sz w:val="16"/>
          <w:szCs w:val="16"/>
        </w:rPr>
        <w:t xml:space="preserve"> See also Section 4 ‘Learning how to partner effectively with external organizations’ and Section 5 ‘Encouraging innovation in non-aid areas of DFAT’.</w:t>
      </w:r>
    </w:p>
  </w:footnote>
  <w:footnote w:id="7">
    <w:p w14:paraId="5B612582" w14:textId="78D8D85C" w:rsidR="00A76A82" w:rsidRPr="002D65B5" w:rsidRDefault="00A76A82" w:rsidP="00A76A82">
      <w:pPr>
        <w:pStyle w:val="FootnoteText"/>
        <w:rPr>
          <w:sz w:val="16"/>
          <w:szCs w:val="16"/>
          <w:lang w:val="en-GB"/>
        </w:rPr>
      </w:pPr>
      <w:r w:rsidRPr="00F01125">
        <w:rPr>
          <w:rStyle w:val="FootnoteReference"/>
          <w:sz w:val="16"/>
          <w:szCs w:val="16"/>
        </w:rPr>
        <w:footnoteRef/>
      </w:r>
      <w:r w:rsidRPr="00F01125">
        <w:rPr>
          <w:sz w:val="16"/>
          <w:szCs w:val="16"/>
        </w:rPr>
        <w:t xml:space="preserve"> </w:t>
      </w:r>
      <w:r w:rsidRPr="00F01125">
        <w:rPr>
          <w:rFonts w:ascii="Calibri" w:eastAsia="Times New Roman" w:hAnsi="Calibri" w:cs="Times New Roman"/>
          <w:color w:val="000000"/>
          <w:sz w:val="16"/>
          <w:szCs w:val="16"/>
          <w:lang w:val="en-AU"/>
        </w:rPr>
        <w:t>When mapped by region, the projects reflect an expected dominant focus on the Indo-Pacific (35%), South-East and East Asia (19%) and South and West Asia (14%).</w:t>
      </w:r>
    </w:p>
  </w:footnote>
  <w:footnote w:id="8">
    <w:p w14:paraId="38EC3DDF" w14:textId="1B85F374" w:rsidR="00302F77" w:rsidRPr="002D65B5" w:rsidRDefault="00302F77">
      <w:pPr>
        <w:pStyle w:val="FootnoteText"/>
        <w:rPr>
          <w:sz w:val="16"/>
          <w:szCs w:val="16"/>
        </w:rPr>
      </w:pPr>
      <w:r w:rsidRPr="002D65B5">
        <w:rPr>
          <w:rStyle w:val="FootnoteReference"/>
          <w:sz w:val="16"/>
          <w:szCs w:val="16"/>
        </w:rPr>
        <w:footnoteRef/>
      </w:r>
      <w:r w:rsidRPr="002D65B5">
        <w:rPr>
          <w:sz w:val="16"/>
          <w:szCs w:val="16"/>
        </w:rPr>
        <w:t xml:space="preserve"> See Section 6 ‘Understanding and building pathways to scale’ for more detail.</w:t>
      </w:r>
    </w:p>
  </w:footnote>
  <w:footnote w:id="9">
    <w:p w14:paraId="6E3A35EE" w14:textId="4ABCAE70" w:rsidR="00302F77" w:rsidRPr="002D65B5" w:rsidRDefault="00302F77">
      <w:pPr>
        <w:pStyle w:val="FootnoteText"/>
        <w:rPr>
          <w:sz w:val="16"/>
          <w:szCs w:val="16"/>
        </w:rPr>
      </w:pPr>
      <w:r w:rsidRPr="002D65B5">
        <w:rPr>
          <w:rStyle w:val="FootnoteReference"/>
          <w:sz w:val="16"/>
          <w:szCs w:val="16"/>
        </w:rPr>
        <w:footnoteRef/>
      </w:r>
      <w:r w:rsidRPr="002D65B5">
        <w:rPr>
          <w:sz w:val="16"/>
          <w:szCs w:val="16"/>
        </w:rPr>
        <w:t xml:space="preserve"> See Section 8 ‘Embedding innovation at post’ for more detail.</w:t>
      </w:r>
    </w:p>
  </w:footnote>
  <w:footnote w:id="10">
    <w:p w14:paraId="71415E65" w14:textId="6453247E" w:rsidR="00302F77" w:rsidRPr="002D65B5" w:rsidRDefault="00302F77">
      <w:pPr>
        <w:pStyle w:val="FootnoteText"/>
        <w:rPr>
          <w:sz w:val="16"/>
          <w:szCs w:val="16"/>
        </w:rPr>
      </w:pPr>
      <w:r w:rsidRPr="002D65B5">
        <w:rPr>
          <w:rStyle w:val="FootnoteReference"/>
          <w:sz w:val="16"/>
          <w:szCs w:val="16"/>
        </w:rPr>
        <w:footnoteRef/>
      </w:r>
      <w:r w:rsidRPr="002D65B5">
        <w:rPr>
          <w:sz w:val="16"/>
          <w:szCs w:val="16"/>
        </w:rPr>
        <w:t xml:space="preserve"> DFAT (2018), </w:t>
      </w:r>
      <w:r w:rsidRPr="002D65B5">
        <w:rPr>
          <w:sz w:val="16"/>
          <w:szCs w:val="16"/>
          <w:lang w:val="en-AU"/>
        </w:rPr>
        <w:t xml:space="preserve">Technology for Development, Indo-Pacific state of play, </w:t>
      </w:r>
      <w:hyperlink r:id="rId2" w:history="1">
        <w:r w:rsidRPr="005A72A1">
          <w:rPr>
            <w:rStyle w:val="Hyperlink"/>
            <w:rFonts w:ascii="Calibri" w:hAnsi="Calibri"/>
            <w:sz w:val="16"/>
            <w:szCs w:val="16"/>
            <w:lang w:val="en-AU"/>
          </w:rPr>
          <w:t>https://ixc.dfat.gov.au/projects/technology-for-development-indo-pacific-state-of-play/</w:t>
        </w:r>
      </w:hyperlink>
      <w:r w:rsidR="005A72A1">
        <w:rPr>
          <w:rFonts w:ascii="Calibri" w:hAnsi="Calibri"/>
          <w:color w:val="000000"/>
          <w:sz w:val="16"/>
          <w:szCs w:val="16"/>
          <w:lang w:val="en-AU"/>
        </w:rPr>
        <w:t>.</w:t>
      </w:r>
    </w:p>
  </w:footnote>
  <w:footnote w:id="11">
    <w:p w14:paraId="1D267B35" w14:textId="59A6EC7A" w:rsidR="00302F77" w:rsidRPr="002D65B5" w:rsidRDefault="00302F77">
      <w:pPr>
        <w:pStyle w:val="FootnoteText"/>
        <w:rPr>
          <w:sz w:val="16"/>
          <w:szCs w:val="16"/>
        </w:rPr>
      </w:pPr>
      <w:r w:rsidRPr="002D65B5">
        <w:rPr>
          <w:rStyle w:val="FootnoteReference"/>
          <w:sz w:val="16"/>
          <w:szCs w:val="16"/>
        </w:rPr>
        <w:footnoteRef/>
      </w:r>
      <w:r w:rsidRPr="002D65B5">
        <w:rPr>
          <w:sz w:val="16"/>
          <w:szCs w:val="16"/>
        </w:rPr>
        <w:t xml:space="preserve"> See Section 9 ‘Approaches to monitoring and evaluation’ for more detail.</w:t>
      </w:r>
    </w:p>
  </w:footnote>
  <w:footnote w:id="12">
    <w:p w14:paraId="2047EA59" w14:textId="77777777" w:rsidR="00302F77" w:rsidRPr="002D65B5" w:rsidRDefault="00302F77" w:rsidP="00682E09">
      <w:pPr>
        <w:pStyle w:val="FootnoteText"/>
        <w:rPr>
          <w:sz w:val="16"/>
          <w:szCs w:val="16"/>
        </w:rPr>
      </w:pPr>
      <w:r w:rsidRPr="002D65B5">
        <w:rPr>
          <w:rStyle w:val="FootnoteReference"/>
          <w:sz w:val="16"/>
          <w:szCs w:val="16"/>
        </w:rPr>
        <w:footnoteRef/>
      </w:r>
      <w:r w:rsidRPr="002D65B5">
        <w:rPr>
          <w:sz w:val="16"/>
          <w:szCs w:val="16"/>
        </w:rPr>
        <w:t xml:space="preserve"> See Section 6 ‘Understanding and building pathways to scale’ for more detail. </w:t>
      </w:r>
    </w:p>
  </w:footnote>
  <w:footnote w:id="13">
    <w:p w14:paraId="799690D8" w14:textId="7D73473A" w:rsidR="00302F77" w:rsidRPr="005A72A1" w:rsidRDefault="00302F77" w:rsidP="003A714B">
      <w:pPr>
        <w:pStyle w:val="FootnoteText"/>
        <w:jc w:val="both"/>
        <w:rPr>
          <w:sz w:val="16"/>
          <w:szCs w:val="16"/>
        </w:rPr>
      </w:pPr>
      <w:r w:rsidRPr="005A72A1">
        <w:rPr>
          <w:rStyle w:val="FootnoteReference"/>
          <w:sz w:val="16"/>
          <w:szCs w:val="16"/>
        </w:rPr>
        <w:footnoteRef/>
      </w:r>
      <w:r w:rsidRPr="005A72A1">
        <w:rPr>
          <w:sz w:val="16"/>
          <w:szCs w:val="16"/>
        </w:rPr>
        <w:t xml:space="preserve"> </w:t>
      </w:r>
      <w:r w:rsidRPr="005A72A1">
        <w:rPr>
          <w:rFonts w:ascii="Calibri" w:hAnsi="Calibri"/>
          <w:sz w:val="16"/>
          <w:szCs w:val="16"/>
          <w:lang w:val="en-AU"/>
        </w:rPr>
        <w:t xml:space="preserve">Headline co-funding figures must be caveated to consider the challenge of truly ‘leveraging’ additional funds. Leveraged funds should ‘amplify’ the initial investment, but funds raised from partners may have gone to the same initiative regardless and/or may </w:t>
      </w:r>
      <w:r w:rsidR="00A03FA0">
        <w:rPr>
          <w:rFonts w:ascii="Calibri" w:hAnsi="Calibri"/>
          <w:sz w:val="16"/>
          <w:szCs w:val="16"/>
          <w:lang w:val="en-AU"/>
        </w:rPr>
        <w:t xml:space="preserve">have </w:t>
      </w:r>
      <w:r w:rsidRPr="005A72A1">
        <w:rPr>
          <w:rFonts w:ascii="Calibri" w:hAnsi="Calibri"/>
          <w:sz w:val="16"/>
          <w:szCs w:val="16"/>
          <w:lang w:val="en-AU"/>
        </w:rPr>
        <w:t>expand</w:t>
      </w:r>
      <w:r w:rsidR="00A03FA0">
        <w:rPr>
          <w:rFonts w:ascii="Calibri" w:hAnsi="Calibri"/>
          <w:sz w:val="16"/>
          <w:szCs w:val="16"/>
          <w:lang w:val="en-AU"/>
        </w:rPr>
        <w:t>ed</w:t>
      </w:r>
      <w:r w:rsidRPr="005A72A1">
        <w:rPr>
          <w:rFonts w:ascii="Calibri" w:hAnsi="Calibri"/>
          <w:sz w:val="16"/>
          <w:szCs w:val="16"/>
          <w:lang w:val="en-AU"/>
        </w:rPr>
        <w:t xml:space="preserve"> the scope of the investment to geographies not initially part of the design.</w:t>
      </w:r>
    </w:p>
  </w:footnote>
  <w:footnote w:id="14">
    <w:p w14:paraId="35B74EEF" w14:textId="1CA610F3" w:rsidR="00302F77" w:rsidRPr="002D65B5" w:rsidRDefault="00302F77">
      <w:pPr>
        <w:pStyle w:val="FootnoteText"/>
        <w:rPr>
          <w:b/>
          <w:sz w:val="16"/>
          <w:szCs w:val="16"/>
        </w:rPr>
      </w:pPr>
      <w:r w:rsidRPr="002D65B5">
        <w:rPr>
          <w:rStyle w:val="FootnoteReference"/>
          <w:sz w:val="16"/>
          <w:szCs w:val="16"/>
        </w:rPr>
        <w:footnoteRef/>
      </w:r>
      <w:r w:rsidRPr="002D65B5">
        <w:rPr>
          <w:sz w:val="16"/>
          <w:szCs w:val="16"/>
        </w:rPr>
        <w:t xml:space="preserve"> IDIA (2017) ‘Insights on Scaling Innovation’</w:t>
      </w:r>
      <w:r w:rsidR="005A72A1">
        <w:rPr>
          <w:sz w:val="16"/>
          <w:szCs w:val="16"/>
        </w:rPr>
        <w:t xml:space="preserve"> </w:t>
      </w:r>
      <w:hyperlink r:id="rId3" w:history="1">
        <w:r w:rsidRPr="005A72A1">
          <w:rPr>
            <w:rStyle w:val="Hyperlink"/>
            <w:sz w:val="16"/>
            <w:szCs w:val="16"/>
          </w:rPr>
          <w:t>https://static1.squarespace.com/static/5b156e3bf2e6b10bb0788609/t/5b1717eb8a922da5042cd0bc/1528240110897/Insights+on+Scaling+Innovation.pdf</w:t>
        </w:r>
      </w:hyperlink>
      <w:r w:rsidR="005A72A1">
        <w:rPr>
          <w:sz w:val="16"/>
          <w:szCs w:val="16"/>
        </w:rPr>
        <w:t>.</w:t>
      </w:r>
    </w:p>
  </w:footnote>
  <w:footnote w:id="15">
    <w:p w14:paraId="5315E271" w14:textId="0A8130BA" w:rsidR="00302F77" w:rsidRPr="002D65B5" w:rsidRDefault="00302F77">
      <w:pPr>
        <w:pStyle w:val="FootnoteText"/>
        <w:rPr>
          <w:sz w:val="16"/>
          <w:szCs w:val="16"/>
        </w:rPr>
      </w:pPr>
      <w:r w:rsidRPr="002D65B5">
        <w:rPr>
          <w:rStyle w:val="FootnoteReference"/>
          <w:sz w:val="16"/>
          <w:szCs w:val="16"/>
        </w:rPr>
        <w:footnoteRef/>
      </w:r>
      <w:r w:rsidRPr="002D65B5">
        <w:rPr>
          <w:sz w:val="16"/>
          <w:szCs w:val="16"/>
        </w:rPr>
        <w:t xml:space="preserve"> See Section 7 ‘Building culture and capability’</w:t>
      </w:r>
      <w:r w:rsidR="005A72A1">
        <w:rPr>
          <w:sz w:val="16"/>
          <w:szCs w:val="16"/>
        </w:rPr>
        <w:t>.</w:t>
      </w:r>
    </w:p>
  </w:footnote>
  <w:footnote w:id="16">
    <w:p w14:paraId="4D5013E0" w14:textId="19371123" w:rsidR="00302F77" w:rsidRPr="002D65B5" w:rsidRDefault="00302F77">
      <w:pPr>
        <w:pStyle w:val="FootnoteText"/>
        <w:rPr>
          <w:sz w:val="16"/>
          <w:szCs w:val="16"/>
        </w:rPr>
      </w:pPr>
      <w:r w:rsidRPr="002D65B5">
        <w:rPr>
          <w:rStyle w:val="FootnoteReference"/>
          <w:sz w:val="16"/>
          <w:szCs w:val="16"/>
        </w:rPr>
        <w:footnoteRef/>
      </w:r>
      <w:r w:rsidRPr="002D65B5">
        <w:rPr>
          <w:sz w:val="16"/>
          <w:szCs w:val="16"/>
        </w:rPr>
        <w:t xml:space="preserve"> Bangladesh, Cambodia, Fiji, Myanmar, Nepal, Pakistan, Papua New Guinea, the Philippines, Samoa, Solomon Islands, Timor-Leste, Vanuatu, Vietnam</w:t>
      </w:r>
      <w:r w:rsidR="005A72A1">
        <w:rPr>
          <w:sz w:val="16"/>
          <w:szCs w:val="16"/>
        </w:rPr>
        <w:t>.</w:t>
      </w:r>
    </w:p>
  </w:footnote>
  <w:footnote w:id="17">
    <w:p w14:paraId="49D4C9C8" w14:textId="682DB324" w:rsidR="00302F77" w:rsidRPr="002D65B5" w:rsidRDefault="00302F77">
      <w:pPr>
        <w:pStyle w:val="FootnoteText"/>
        <w:rPr>
          <w:sz w:val="16"/>
          <w:szCs w:val="16"/>
        </w:rPr>
      </w:pPr>
      <w:r w:rsidRPr="002D65B5">
        <w:rPr>
          <w:rStyle w:val="FootnoteReference"/>
          <w:sz w:val="16"/>
          <w:szCs w:val="16"/>
        </w:rPr>
        <w:footnoteRef/>
      </w:r>
      <w:r w:rsidRPr="002D65B5">
        <w:rPr>
          <w:sz w:val="16"/>
          <w:szCs w:val="16"/>
        </w:rPr>
        <w:t xml:space="preserve"> This diagram was developed by R4D.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EE6BE" w14:textId="65637E59" w:rsidR="00302F77" w:rsidRDefault="00302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3C4C" w14:textId="5687A776" w:rsidR="00302F77" w:rsidRDefault="00302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2E6BD" w14:textId="13CC0789" w:rsidR="00302F77" w:rsidRDefault="00302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698"/>
    <w:multiLevelType w:val="hybridMultilevel"/>
    <w:tmpl w:val="88D49E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E4867"/>
    <w:multiLevelType w:val="hybridMultilevel"/>
    <w:tmpl w:val="D19E5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57836"/>
    <w:multiLevelType w:val="hybridMultilevel"/>
    <w:tmpl w:val="F47E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777AD"/>
    <w:multiLevelType w:val="hybridMultilevel"/>
    <w:tmpl w:val="F6A47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BC606CE"/>
    <w:multiLevelType w:val="hybridMultilevel"/>
    <w:tmpl w:val="A718DB6A"/>
    <w:lvl w:ilvl="0" w:tplc="12525310">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551CEC"/>
    <w:multiLevelType w:val="hybridMultilevel"/>
    <w:tmpl w:val="78421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C60CD5"/>
    <w:multiLevelType w:val="hybridMultilevel"/>
    <w:tmpl w:val="0A942B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CD3080"/>
    <w:multiLevelType w:val="hybridMultilevel"/>
    <w:tmpl w:val="BB96D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E1898"/>
    <w:multiLevelType w:val="hybridMultilevel"/>
    <w:tmpl w:val="5ED6D354"/>
    <w:lvl w:ilvl="0" w:tplc="04090015">
      <w:start w:val="1"/>
      <w:numFmt w:val="upperLetter"/>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15:restartNumberingAfterBreak="0">
    <w:nsid w:val="3A550494"/>
    <w:multiLevelType w:val="hybridMultilevel"/>
    <w:tmpl w:val="D4E8808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416168DB"/>
    <w:multiLevelType w:val="hybridMultilevel"/>
    <w:tmpl w:val="3D10F2E4"/>
    <w:lvl w:ilvl="0" w:tplc="B8B46A24">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0E5D8F"/>
    <w:multiLevelType w:val="hybridMultilevel"/>
    <w:tmpl w:val="03DA2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7C7BB8"/>
    <w:multiLevelType w:val="hybridMultilevel"/>
    <w:tmpl w:val="4824F7A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31A6D"/>
    <w:multiLevelType w:val="hybridMultilevel"/>
    <w:tmpl w:val="D76E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4B18B8"/>
    <w:multiLevelType w:val="hybridMultilevel"/>
    <w:tmpl w:val="1F36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267BE8"/>
    <w:multiLevelType w:val="hybridMultilevel"/>
    <w:tmpl w:val="7848C4C6"/>
    <w:lvl w:ilvl="0" w:tplc="59880920">
      <w:start w:val="1"/>
      <w:numFmt w:val="upperLetter"/>
      <w:lvlText w:val="%1."/>
      <w:lvlJc w:val="left"/>
      <w:pPr>
        <w:ind w:left="720" w:hanging="360"/>
      </w:pPr>
      <w:rPr>
        <w:rFonts w:hint="default"/>
        <w:b w:val="0"/>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 w15:restartNumberingAfterBreak="0">
    <w:nsid w:val="4E955FE0"/>
    <w:multiLevelType w:val="multilevel"/>
    <w:tmpl w:val="4824F7AA"/>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8C25278"/>
    <w:multiLevelType w:val="hybridMultilevel"/>
    <w:tmpl w:val="2DF8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D70BD2"/>
    <w:multiLevelType w:val="multilevel"/>
    <w:tmpl w:val="52A27C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9544500"/>
    <w:multiLevelType w:val="hybridMultilevel"/>
    <w:tmpl w:val="9E3C0902"/>
    <w:lvl w:ilvl="0" w:tplc="04090001">
      <w:start w:val="1"/>
      <w:numFmt w:val="bullet"/>
      <w:lvlText w:val=""/>
      <w:lvlJc w:val="left"/>
      <w:pPr>
        <w:ind w:left="720" w:hanging="360"/>
      </w:pPr>
      <w:rPr>
        <w:rFonts w:ascii="Symbol" w:hAnsi="Symbol" w:hint="default"/>
      </w:rPr>
    </w:lvl>
    <w:lvl w:ilvl="1" w:tplc="FD462702">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D4541"/>
    <w:multiLevelType w:val="hybridMultilevel"/>
    <w:tmpl w:val="820A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54CAE"/>
    <w:multiLevelType w:val="hybridMultilevel"/>
    <w:tmpl w:val="E10A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
  </w:num>
  <w:num w:numId="4">
    <w:abstractNumId w:val="13"/>
  </w:num>
  <w:num w:numId="5">
    <w:abstractNumId w:val="19"/>
  </w:num>
  <w:num w:numId="6">
    <w:abstractNumId w:val="2"/>
  </w:num>
  <w:num w:numId="7">
    <w:abstractNumId w:val="3"/>
  </w:num>
  <w:num w:numId="8">
    <w:abstractNumId w:val="17"/>
  </w:num>
  <w:num w:numId="9">
    <w:abstractNumId w:val="4"/>
  </w:num>
  <w:num w:numId="10">
    <w:abstractNumId w:val="14"/>
  </w:num>
  <w:num w:numId="11">
    <w:abstractNumId w:val="21"/>
  </w:num>
  <w:num w:numId="12">
    <w:abstractNumId w:val="12"/>
  </w:num>
  <w:num w:numId="13">
    <w:abstractNumId w:val="15"/>
  </w:num>
  <w:num w:numId="14">
    <w:abstractNumId w:val="7"/>
  </w:num>
  <w:num w:numId="15">
    <w:abstractNumId w:val="8"/>
  </w:num>
  <w:num w:numId="16">
    <w:abstractNumId w:val="11"/>
  </w:num>
  <w:num w:numId="17">
    <w:abstractNumId w:val="10"/>
  </w:num>
  <w:num w:numId="18">
    <w:abstractNumId w:val="0"/>
  </w:num>
  <w:num w:numId="19">
    <w:abstractNumId w:val="5"/>
  </w:num>
  <w:num w:numId="20">
    <w:abstractNumId w:val="6"/>
  </w:num>
  <w:num w:numId="21">
    <w:abstractNumId w:val="4"/>
  </w:num>
  <w:num w:numId="22">
    <w:abstractNumId w:val="16"/>
  </w:num>
  <w:num w:numId="2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4D1"/>
    <w:rsid w:val="00000A7E"/>
    <w:rsid w:val="00001BD5"/>
    <w:rsid w:val="0000292C"/>
    <w:rsid w:val="000030A3"/>
    <w:rsid w:val="00003255"/>
    <w:rsid w:val="000054BE"/>
    <w:rsid w:val="00006B56"/>
    <w:rsid w:val="00006E45"/>
    <w:rsid w:val="00007492"/>
    <w:rsid w:val="00007C96"/>
    <w:rsid w:val="00007F17"/>
    <w:rsid w:val="00010F5A"/>
    <w:rsid w:val="00011972"/>
    <w:rsid w:val="000119AC"/>
    <w:rsid w:val="00011AF6"/>
    <w:rsid w:val="00012811"/>
    <w:rsid w:val="0001315A"/>
    <w:rsid w:val="00014FEE"/>
    <w:rsid w:val="0001503E"/>
    <w:rsid w:val="00015C45"/>
    <w:rsid w:val="00016B89"/>
    <w:rsid w:val="00016E60"/>
    <w:rsid w:val="00017170"/>
    <w:rsid w:val="000201E9"/>
    <w:rsid w:val="000205AB"/>
    <w:rsid w:val="000213A0"/>
    <w:rsid w:val="0002213D"/>
    <w:rsid w:val="000228AD"/>
    <w:rsid w:val="00023775"/>
    <w:rsid w:val="000241DA"/>
    <w:rsid w:val="0002472C"/>
    <w:rsid w:val="00024E25"/>
    <w:rsid w:val="00025234"/>
    <w:rsid w:val="0002532C"/>
    <w:rsid w:val="000274FE"/>
    <w:rsid w:val="00027C9B"/>
    <w:rsid w:val="00030B96"/>
    <w:rsid w:val="00033094"/>
    <w:rsid w:val="000331D2"/>
    <w:rsid w:val="000334EF"/>
    <w:rsid w:val="0003385D"/>
    <w:rsid w:val="000349C6"/>
    <w:rsid w:val="0003581A"/>
    <w:rsid w:val="00035A74"/>
    <w:rsid w:val="000367BC"/>
    <w:rsid w:val="000373AA"/>
    <w:rsid w:val="0004118D"/>
    <w:rsid w:val="00042C57"/>
    <w:rsid w:val="00043FD0"/>
    <w:rsid w:val="00044728"/>
    <w:rsid w:val="000474C4"/>
    <w:rsid w:val="00047EA2"/>
    <w:rsid w:val="0005025E"/>
    <w:rsid w:val="00050D6E"/>
    <w:rsid w:val="00051119"/>
    <w:rsid w:val="0005266F"/>
    <w:rsid w:val="00052D82"/>
    <w:rsid w:val="00053BCF"/>
    <w:rsid w:val="0005797A"/>
    <w:rsid w:val="00057CF6"/>
    <w:rsid w:val="00057DA3"/>
    <w:rsid w:val="0006056E"/>
    <w:rsid w:val="00062CC4"/>
    <w:rsid w:val="00063375"/>
    <w:rsid w:val="00063B65"/>
    <w:rsid w:val="000646F7"/>
    <w:rsid w:val="00064AF7"/>
    <w:rsid w:val="00067171"/>
    <w:rsid w:val="00067180"/>
    <w:rsid w:val="00067A21"/>
    <w:rsid w:val="00067B30"/>
    <w:rsid w:val="0007046A"/>
    <w:rsid w:val="00070C73"/>
    <w:rsid w:val="000729D3"/>
    <w:rsid w:val="00073CF5"/>
    <w:rsid w:val="00073E59"/>
    <w:rsid w:val="0007790A"/>
    <w:rsid w:val="00077B8E"/>
    <w:rsid w:val="00077D04"/>
    <w:rsid w:val="00080107"/>
    <w:rsid w:val="000817C6"/>
    <w:rsid w:val="000825EB"/>
    <w:rsid w:val="00082ABE"/>
    <w:rsid w:val="00083150"/>
    <w:rsid w:val="000834A9"/>
    <w:rsid w:val="00084396"/>
    <w:rsid w:val="000846B5"/>
    <w:rsid w:val="00084BD6"/>
    <w:rsid w:val="000853BE"/>
    <w:rsid w:val="000853E8"/>
    <w:rsid w:val="000859C6"/>
    <w:rsid w:val="00085C4D"/>
    <w:rsid w:val="00087EDA"/>
    <w:rsid w:val="0009004D"/>
    <w:rsid w:val="0009067C"/>
    <w:rsid w:val="00092272"/>
    <w:rsid w:val="00092AC1"/>
    <w:rsid w:val="00094225"/>
    <w:rsid w:val="000953A9"/>
    <w:rsid w:val="0009576B"/>
    <w:rsid w:val="00096231"/>
    <w:rsid w:val="000A2E97"/>
    <w:rsid w:val="000A36B4"/>
    <w:rsid w:val="000A37A2"/>
    <w:rsid w:val="000A3A09"/>
    <w:rsid w:val="000A4892"/>
    <w:rsid w:val="000A4CE0"/>
    <w:rsid w:val="000A5889"/>
    <w:rsid w:val="000A5B57"/>
    <w:rsid w:val="000A7200"/>
    <w:rsid w:val="000A77AC"/>
    <w:rsid w:val="000B00DB"/>
    <w:rsid w:val="000B0D39"/>
    <w:rsid w:val="000B0FC2"/>
    <w:rsid w:val="000B249B"/>
    <w:rsid w:val="000B2A42"/>
    <w:rsid w:val="000B312C"/>
    <w:rsid w:val="000B35DB"/>
    <w:rsid w:val="000B3E31"/>
    <w:rsid w:val="000B44AF"/>
    <w:rsid w:val="000B59D7"/>
    <w:rsid w:val="000B5C86"/>
    <w:rsid w:val="000B6080"/>
    <w:rsid w:val="000B744A"/>
    <w:rsid w:val="000B7716"/>
    <w:rsid w:val="000C002F"/>
    <w:rsid w:val="000C077C"/>
    <w:rsid w:val="000C1942"/>
    <w:rsid w:val="000C1A51"/>
    <w:rsid w:val="000C1BD7"/>
    <w:rsid w:val="000C1EBD"/>
    <w:rsid w:val="000C2868"/>
    <w:rsid w:val="000C2949"/>
    <w:rsid w:val="000C2A09"/>
    <w:rsid w:val="000C3432"/>
    <w:rsid w:val="000C520D"/>
    <w:rsid w:val="000C5792"/>
    <w:rsid w:val="000C630F"/>
    <w:rsid w:val="000C6A41"/>
    <w:rsid w:val="000C6B6E"/>
    <w:rsid w:val="000C6CD8"/>
    <w:rsid w:val="000C7115"/>
    <w:rsid w:val="000C7429"/>
    <w:rsid w:val="000C74E7"/>
    <w:rsid w:val="000C7B5D"/>
    <w:rsid w:val="000D16C6"/>
    <w:rsid w:val="000D22FF"/>
    <w:rsid w:val="000D2E4E"/>
    <w:rsid w:val="000D3DAE"/>
    <w:rsid w:val="000D4251"/>
    <w:rsid w:val="000D4252"/>
    <w:rsid w:val="000D4674"/>
    <w:rsid w:val="000D4A31"/>
    <w:rsid w:val="000D4BC6"/>
    <w:rsid w:val="000D4D78"/>
    <w:rsid w:val="000D633C"/>
    <w:rsid w:val="000D6662"/>
    <w:rsid w:val="000D6EDF"/>
    <w:rsid w:val="000E01B0"/>
    <w:rsid w:val="000E0230"/>
    <w:rsid w:val="000E04E1"/>
    <w:rsid w:val="000E06CA"/>
    <w:rsid w:val="000E1325"/>
    <w:rsid w:val="000E1814"/>
    <w:rsid w:val="000E1A70"/>
    <w:rsid w:val="000E1D63"/>
    <w:rsid w:val="000E24CF"/>
    <w:rsid w:val="000E2673"/>
    <w:rsid w:val="000E2676"/>
    <w:rsid w:val="000E28FC"/>
    <w:rsid w:val="000E2901"/>
    <w:rsid w:val="000E2F86"/>
    <w:rsid w:val="000E3008"/>
    <w:rsid w:val="000E3864"/>
    <w:rsid w:val="000E3BB0"/>
    <w:rsid w:val="000E4EBC"/>
    <w:rsid w:val="000E7999"/>
    <w:rsid w:val="000E7B2C"/>
    <w:rsid w:val="000F19E7"/>
    <w:rsid w:val="000F1B6C"/>
    <w:rsid w:val="000F200B"/>
    <w:rsid w:val="000F32C7"/>
    <w:rsid w:val="000F4B70"/>
    <w:rsid w:val="000F5684"/>
    <w:rsid w:val="000F67D7"/>
    <w:rsid w:val="000F75CE"/>
    <w:rsid w:val="00100C4A"/>
    <w:rsid w:val="00102E6A"/>
    <w:rsid w:val="001035EA"/>
    <w:rsid w:val="001038D6"/>
    <w:rsid w:val="001044C7"/>
    <w:rsid w:val="001049FE"/>
    <w:rsid w:val="0010625A"/>
    <w:rsid w:val="00106D6C"/>
    <w:rsid w:val="00112172"/>
    <w:rsid w:val="0011291F"/>
    <w:rsid w:val="00113A69"/>
    <w:rsid w:val="00113AC4"/>
    <w:rsid w:val="00114A2B"/>
    <w:rsid w:val="001155A0"/>
    <w:rsid w:val="00115F59"/>
    <w:rsid w:val="00116131"/>
    <w:rsid w:val="00116771"/>
    <w:rsid w:val="00116B8D"/>
    <w:rsid w:val="00117750"/>
    <w:rsid w:val="00117D50"/>
    <w:rsid w:val="00117EAC"/>
    <w:rsid w:val="001208F7"/>
    <w:rsid w:val="00120D39"/>
    <w:rsid w:val="00121FCB"/>
    <w:rsid w:val="00121FD6"/>
    <w:rsid w:val="00122600"/>
    <w:rsid w:val="00123EE7"/>
    <w:rsid w:val="0012407A"/>
    <w:rsid w:val="0012416A"/>
    <w:rsid w:val="001241A9"/>
    <w:rsid w:val="00125BFE"/>
    <w:rsid w:val="00126911"/>
    <w:rsid w:val="0012693C"/>
    <w:rsid w:val="00126955"/>
    <w:rsid w:val="00127214"/>
    <w:rsid w:val="00127A8D"/>
    <w:rsid w:val="0013063A"/>
    <w:rsid w:val="001323ED"/>
    <w:rsid w:val="00132DAA"/>
    <w:rsid w:val="00133764"/>
    <w:rsid w:val="001357AF"/>
    <w:rsid w:val="00136C3A"/>
    <w:rsid w:val="00136DB3"/>
    <w:rsid w:val="00137E4D"/>
    <w:rsid w:val="00140561"/>
    <w:rsid w:val="00140646"/>
    <w:rsid w:val="00140A53"/>
    <w:rsid w:val="00140E21"/>
    <w:rsid w:val="0014105D"/>
    <w:rsid w:val="00141E3D"/>
    <w:rsid w:val="00143221"/>
    <w:rsid w:val="00144567"/>
    <w:rsid w:val="00144A81"/>
    <w:rsid w:val="00145D70"/>
    <w:rsid w:val="00146CB2"/>
    <w:rsid w:val="001507C3"/>
    <w:rsid w:val="00153A5F"/>
    <w:rsid w:val="00153D82"/>
    <w:rsid w:val="00154231"/>
    <w:rsid w:val="0015426C"/>
    <w:rsid w:val="00155E0F"/>
    <w:rsid w:val="0015714B"/>
    <w:rsid w:val="00157C91"/>
    <w:rsid w:val="001601A2"/>
    <w:rsid w:val="00160464"/>
    <w:rsid w:val="0016071B"/>
    <w:rsid w:val="0016160E"/>
    <w:rsid w:val="00161ECB"/>
    <w:rsid w:val="00161F81"/>
    <w:rsid w:val="00163116"/>
    <w:rsid w:val="00163266"/>
    <w:rsid w:val="001639D1"/>
    <w:rsid w:val="001640AD"/>
    <w:rsid w:val="001650E6"/>
    <w:rsid w:val="001662E1"/>
    <w:rsid w:val="00167509"/>
    <w:rsid w:val="0017017E"/>
    <w:rsid w:val="0017072C"/>
    <w:rsid w:val="00170941"/>
    <w:rsid w:val="00170B91"/>
    <w:rsid w:val="00170DDE"/>
    <w:rsid w:val="001712A5"/>
    <w:rsid w:val="0017134E"/>
    <w:rsid w:val="0017193C"/>
    <w:rsid w:val="00172E80"/>
    <w:rsid w:val="00173CCA"/>
    <w:rsid w:val="00174035"/>
    <w:rsid w:val="00175D94"/>
    <w:rsid w:val="00176486"/>
    <w:rsid w:val="001768EB"/>
    <w:rsid w:val="00177169"/>
    <w:rsid w:val="001776E9"/>
    <w:rsid w:val="00177C35"/>
    <w:rsid w:val="00180509"/>
    <w:rsid w:val="00180C98"/>
    <w:rsid w:val="00180E06"/>
    <w:rsid w:val="00183201"/>
    <w:rsid w:val="001841F3"/>
    <w:rsid w:val="0018423A"/>
    <w:rsid w:val="00185EF1"/>
    <w:rsid w:val="00186601"/>
    <w:rsid w:val="00190E2B"/>
    <w:rsid w:val="00193A27"/>
    <w:rsid w:val="00193BE4"/>
    <w:rsid w:val="001942E3"/>
    <w:rsid w:val="001958D0"/>
    <w:rsid w:val="0019703A"/>
    <w:rsid w:val="0019736C"/>
    <w:rsid w:val="00197BA5"/>
    <w:rsid w:val="001A0BA3"/>
    <w:rsid w:val="001A2321"/>
    <w:rsid w:val="001A24D9"/>
    <w:rsid w:val="001A2C42"/>
    <w:rsid w:val="001A2DA3"/>
    <w:rsid w:val="001A2E30"/>
    <w:rsid w:val="001A3918"/>
    <w:rsid w:val="001A4C2F"/>
    <w:rsid w:val="001A57F5"/>
    <w:rsid w:val="001A5E84"/>
    <w:rsid w:val="001A647D"/>
    <w:rsid w:val="001A72B5"/>
    <w:rsid w:val="001A78BE"/>
    <w:rsid w:val="001A7AAA"/>
    <w:rsid w:val="001B18CD"/>
    <w:rsid w:val="001B1A29"/>
    <w:rsid w:val="001B2425"/>
    <w:rsid w:val="001B32C1"/>
    <w:rsid w:val="001B40D0"/>
    <w:rsid w:val="001B43DA"/>
    <w:rsid w:val="001B4C91"/>
    <w:rsid w:val="001B5C73"/>
    <w:rsid w:val="001B60BF"/>
    <w:rsid w:val="001B66A2"/>
    <w:rsid w:val="001B66D8"/>
    <w:rsid w:val="001C00B9"/>
    <w:rsid w:val="001C0F3D"/>
    <w:rsid w:val="001C18A7"/>
    <w:rsid w:val="001C218D"/>
    <w:rsid w:val="001C2FE3"/>
    <w:rsid w:val="001C355D"/>
    <w:rsid w:val="001C37B5"/>
    <w:rsid w:val="001C3B26"/>
    <w:rsid w:val="001C5CF3"/>
    <w:rsid w:val="001C5D53"/>
    <w:rsid w:val="001C5F29"/>
    <w:rsid w:val="001C5FD6"/>
    <w:rsid w:val="001C6596"/>
    <w:rsid w:val="001C7040"/>
    <w:rsid w:val="001D01E7"/>
    <w:rsid w:val="001D09E1"/>
    <w:rsid w:val="001D19C8"/>
    <w:rsid w:val="001D1E2F"/>
    <w:rsid w:val="001D2747"/>
    <w:rsid w:val="001D3091"/>
    <w:rsid w:val="001D5BBD"/>
    <w:rsid w:val="001D5D8E"/>
    <w:rsid w:val="001D6AE7"/>
    <w:rsid w:val="001D7599"/>
    <w:rsid w:val="001D7B3F"/>
    <w:rsid w:val="001E0674"/>
    <w:rsid w:val="001E1B8A"/>
    <w:rsid w:val="001E29A0"/>
    <w:rsid w:val="001E2B1A"/>
    <w:rsid w:val="001E385F"/>
    <w:rsid w:val="001E409C"/>
    <w:rsid w:val="001E497C"/>
    <w:rsid w:val="001E5873"/>
    <w:rsid w:val="001E6650"/>
    <w:rsid w:val="001E712C"/>
    <w:rsid w:val="001E780B"/>
    <w:rsid w:val="001E78C6"/>
    <w:rsid w:val="001E7A7E"/>
    <w:rsid w:val="001F08DB"/>
    <w:rsid w:val="001F08E1"/>
    <w:rsid w:val="001F0FF1"/>
    <w:rsid w:val="001F1D02"/>
    <w:rsid w:val="001F1E4A"/>
    <w:rsid w:val="001F2786"/>
    <w:rsid w:val="001F36A0"/>
    <w:rsid w:val="001F3942"/>
    <w:rsid w:val="001F4078"/>
    <w:rsid w:val="001F55D2"/>
    <w:rsid w:val="001F5A5F"/>
    <w:rsid w:val="00200A94"/>
    <w:rsid w:val="00201414"/>
    <w:rsid w:val="002027D0"/>
    <w:rsid w:val="0020285C"/>
    <w:rsid w:val="00202DC8"/>
    <w:rsid w:val="0020367E"/>
    <w:rsid w:val="002044FC"/>
    <w:rsid w:val="002051BD"/>
    <w:rsid w:val="00205407"/>
    <w:rsid w:val="00205B45"/>
    <w:rsid w:val="00206243"/>
    <w:rsid w:val="00206D7D"/>
    <w:rsid w:val="002075C6"/>
    <w:rsid w:val="00207AB3"/>
    <w:rsid w:val="00207C1D"/>
    <w:rsid w:val="00210D6B"/>
    <w:rsid w:val="00211504"/>
    <w:rsid w:val="00211E54"/>
    <w:rsid w:val="002131EE"/>
    <w:rsid w:val="00214061"/>
    <w:rsid w:val="0021515B"/>
    <w:rsid w:val="00216178"/>
    <w:rsid w:val="0021635D"/>
    <w:rsid w:val="00217040"/>
    <w:rsid w:val="00217B0B"/>
    <w:rsid w:val="00220A1F"/>
    <w:rsid w:val="00220AD6"/>
    <w:rsid w:val="00221146"/>
    <w:rsid w:val="00221649"/>
    <w:rsid w:val="002227ED"/>
    <w:rsid w:val="00222AD1"/>
    <w:rsid w:val="00222F05"/>
    <w:rsid w:val="00223364"/>
    <w:rsid w:val="002236E3"/>
    <w:rsid w:val="002243C2"/>
    <w:rsid w:val="00226E55"/>
    <w:rsid w:val="00226F46"/>
    <w:rsid w:val="0023063E"/>
    <w:rsid w:val="00230C14"/>
    <w:rsid w:val="002317A1"/>
    <w:rsid w:val="002323F6"/>
    <w:rsid w:val="0023287E"/>
    <w:rsid w:val="002331BA"/>
    <w:rsid w:val="002332C3"/>
    <w:rsid w:val="002343BE"/>
    <w:rsid w:val="00235012"/>
    <w:rsid w:val="002352F9"/>
    <w:rsid w:val="00236188"/>
    <w:rsid w:val="00236A3B"/>
    <w:rsid w:val="002372BA"/>
    <w:rsid w:val="002411B9"/>
    <w:rsid w:val="002415CD"/>
    <w:rsid w:val="002420A8"/>
    <w:rsid w:val="00242117"/>
    <w:rsid w:val="002424A9"/>
    <w:rsid w:val="002435F3"/>
    <w:rsid w:val="00243B1A"/>
    <w:rsid w:val="00243D6F"/>
    <w:rsid w:val="002460F0"/>
    <w:rsid w:val="002461E0"/>
    <w:rsid w:val="00250098"/>
    <w:rsid w:val="002516D0"/>
    <w:rsid w:val="00252D02"/>
    <w:rsid w:val="00252E63"/>
    <w:rsid w:val="00253604"/>
    <w:rsid w:val="0025388F"/>
    <w:rsid w:val="0025442A"/>
    <w:rsid w:val="00255028"/>
    <w:rsid w:val="00255AE3"/>
    <w:rsid w:val="00255C47"/>
    <w:rsid w:val="00256147"/>
    <w:rsid w:val="002566A9"/>
    <w:rsid w:val="002613DA"/>
    <w:rsid w:val="002616F2"/>
    <w:rsid w:val="0026257B"/>
    <w:rsid w:val="002635FF"/>
    <w:rsid w:val="0026377F"/>
    <w:rsid w:val="0026388B"/>
    <w:rsid w:val="00263AD3"/>
    <w:rsid w:val="00263D0E"/>
    <w:rsid w:val="00263F4E"/>
    <w:rsid w:val="00264857"/>
    <w:rsid w:val="00265DB2"/>
    <w:rsid w:val="00267DF2"/>
    <w:rsid w:val="00267E82"/>
    <w:rsid w:val="00270901"/>
    <w:rsid w:val="00270EA2"/>
    <w:rsid w:val="00271A04"/>
    <w:rsid w:val="00272E88"/>
    <w:rsid w:val="0027343E"/>
    <w:rsid w:val="00273564"/>
    <w:rsid w:val="00273D1A"/>
    <w:rsid w:val="002758F1"/>
    <w:rsid w:val="0027635A"/>
    <w:rsid w:val="00276487"/>
    <w:rsid w:val="00276B34"/>
    <w:rsid w:val="00280228"/>
    <w:rsid w:val="00280756"/>
    <w:rsid w:val="00280FAF"/>
    <w:rsid w:val="0028165C"/>
    <w:rsid w:val="00281B73"/>
    <w:rsid w:val="00282831"/>
    <w:rsid w:val="002831A6"/>
    <w:rsid w:val="00286C56"/>
    <w:rsid w:val="002904D4"/>
    <w:rsid w:val="0029087D"/>
    <w:rsid w:val="00290E95"/>
    <w:rsid w:val="00291711"/>
    <w:rsid w:val="002921E5"/>
    <w:rsid w:val="00292F5D"/>
    <w:rsid w:val="002932C6"/>
    <w:rsid w:val="00293D96"/>
    <w:rsid w:val="00294394"/>
    <w:rsid w:val="00296ACF"/>
    <w:rsid w:val="002A0244"/>
    <w:rsid w:val="002A0C64"/>
    <w:rsid w:val="002A1792"/>
    <w:rsid w:val="002A19F6"/>
    <w:rsid w:val="002A1CEC"/>
    <w:rsid w:val="002A4028"/>
    <w:rsid w:val="002A4294"/>
    <w:rsid w:val="002A4E7E"/>
    <w:rsid w:val="002A540D"/>
    <w:rsid w:val="002A6970"/>
    <w:rsid w:val="002A6EE7"/>
    <w:rsid w:val="002A705B"/>
    <w:rsid w:val="002A7940"/>
    <w:rsid w:val="002B2389"/>
    <w:rsid w:val="002B30FE"/>
    <w:rsid w:val="002B3404"/>
    <w:rsid w:val="002B3C5B"/>
    <w:rsid w:val="002B3E80"/>
    <w:rsid w:val="002B40BA"/>
    <w:rsid w:val="002B59B1"/>
    <w:rsid w:val="002B675D"/>
    <w:rsid w:val="002B695A"/>
    <w:rsid w:val="002B737D"/>
    <w:rsid w:val="002B74A3"/>
    <w:rsid w:val="002B7840"/>
    <w:rsid w:val="002B78A5"/>
    <w:rsid w:val="002C1DD1"/>
    <w:rsid w:val="002C2335"/>
    <w:rsid w:val="002C2E4C"/>
    <w:rsid w:val="002C2EF7"/>
    <w:rsid w:val="002C3069"/>
    <w:rsid w:val="002C3280"/>
    <w:rsid w:val="002C34C0"/>
    <w:rsid w:val="002C3542"/>
    <w:rsid w:val="002C3C10"/>
    <w:rsid w:val="002C491B"/>
    <w:rsid w:val="002C4925"/>
    <w:rsid w:val="002C51B5"/>
    <w:rsid w:val="002C5333"/>
    <w:rsid w:val="002C54A0"/>
    <w:rsid w:val="002C58BF"/>
    <w:rsid w:val="002C5CE6"/>
    <w:rsid w:val="002C78F4"/>
    <w:rsid w:val="002C7AFA"/>
    <w:rsid w:val="002C7BB9"/>
    <w:rsid w:val="002D0B92"/>
    <w:rsid w:val="002D1EDA"/>
    <w:rsid w:val="002D2E9A"/>
    <w:rsid w:val="002D3C92"/>
    <w:rsid w:val="002D5659"/>
    <w:rsid w:val="002D643A"/>
    <w:rsid w:val="002D65B5"/>
    <w:rsid w:val="002D7753"/>
    <w:rsid w:val="002E3568"/>
    <w:rsid w:val="002E3FAF"/>
    <w:rsid w:val="002E42E8"/>
    <w:rsid w:val="002E4924"/>
    <w:rsid w:val="002E50AD"/>
    <w:rsid w:val="002E6AEC"/>
    <w:rsid w:val="002E6D38"/>
    <w:rsid w:val="002E7AFD"/>
    <w:rsid w:val="002F0C17"/>
    <w:rsid w:val="002F0DE1"/>
    <w:rsid w:val="002F10EA"/>
    <w:rsid w:val="002F189E"/>
    <w:rsid w:val="002F1EB8"/>
    <w:rsid w:val="002F3346"/>
    <w:rsid w:val="002F3800"/>
    <w:rsid w:val="002F3B3E"/>
    <w:rsid w:val="002F4462"/>
    <w:rsid w:val="002F5665"/>
    <w:rsid w:val="002F5713"/>
    <w:rsid w:val="002F7CF5"/>
    <w:rsid w:val="00300694"/>
    <w:rsid w:val="00300BB8"/>
    <w:rsid w:val="00301B41"/>
    <w:rsid w:val="00302149"/>
    <w:rsid w:val="00302F77"/>
    <w:rsid w:val="003038AC"/>
    <w:rsid w:val="00304651"/>
    <w:rsid w:val="00304C1A"/>
    <w:rsid w:val="003051CF"/>
    <w:rsid w:val="00305877"/>
    <w:rsid w:val="003072B0"/>
    <w:rsid w:val="00307740"/>
    <w:rsid w:val="00310C9D"/>
    <w:rsid w:val="00310FB7"/>
    <w:rsid w:val="003115D5"/>
    <w:rsid w:val="00311C11"/>
    <w:rsid w:val="00313B8D"/>
    <w:rsid w:val="00313CF2"/>
    <w:rsid w:val="003151B7"/>
    <w:rsid w:val="0031521C"/>
    <w:rsid w:val="0031593B"/>
    <w:rsid w:val="003203A2"/>
    <w:rsid w:val="0032096F"/>
    <w:rsid w:val="00320EFE"/>
    <w:rsid w:val="003212EB"/>
    <w:rsid w:val="00322068"/>
    <w:rsid w:val="00324660"/>
    <w:rsid w:val="003249BE"/>
    <w:rsid w:val="00325A17"/>
    <w:rsid w:val="00326CCB"/>
    <w:rsid w:val="00330437"/>
    <w:rsid w:val="00330B97"/>
    <w:rsid w:val="00330D96"/>
    <w:rsid w:val="00330DDC"/>
    <w:rsid w:val="00330EF8"/>
    <w:rsid w:val="003311DA"/>
    <w:rsid w:val="00331613"/>
    <w:rsid w:val="00331CA3"/>
    <w:rsid w:val="00331D6E"/>
    <w:rsid w:val="00333778"/>
    <w:rsid w:val="00334E34"/>
    <w:rsid w:val="00335274"/>
    <w:rsid w:val="0033643F"/>
    <w:rsid w:val="0033671E"/>
    <w:rsid w:val="00337075"/>
    <w:rsid w:val="00337807"/>
    <w:rsid w:val="00337C05"/>
    <w:rsid w:val="003400DB"/>
    <w:rsid w:val="00340243"/>
    <w:rsid w:val="00340606"/>
    <w:rsid w:val="00340BD9"/>
    <w:rsid w:val="003426E8"/>
    <w:rsid w:val="003432C2"/>
    <w:rsid w:val="0034379E"/>
    <w:rsid w:val="00343CA4"/>
    <w:rsid w:val="0034403D"/>
    <w:rsid w:val="0034669F"/>
    <w:rsid w:val="00346948"/>
    <w:rsid w:val="0034739C"/>
    <w:rsid w:val="0034773B"/>
    <w:rsid w:val="0035073A"/>
    <w:rsid w:val="00350946"/>
    <w:rsid w:val="0035099C"/>
    <w:rsid w:val="003511E1"/>
    <w:rsid w:val="00351D20"/>
    <w:rsid w:val="00352634"/>
    <w:rsid w:val="003534D4"/>
    <w:rsid w:val="003536E6"/>
    <w:rsid w:val="0035384E"/>
    <w:rsid w:val="00354772"/>
    <w:rsid w:val="00354C30"/>
    <w:rsid w:val="00354C9D"/>
    <w:rsid w:val="00355EE4"/>
    <w:rsid w:val="00356C4C"/>
    <w:rsid w:val="00356CB4"/>
    <w:rsid w:val="0036021A"/>
    <w:rsid w:val="00361611"/>
    <w:rsid w:val="003643DC"/>
    <w:rsid w:val="00364D9A"/>
    <w:rsid w:val="0036612E"/>
    <w:rsid w:val="00367081"/>
    <w:rsid w:val="003674A9"/>
    <w:rsid w:val="00367C7F"/>
    <w:rsid w:val="00370CEF"/>
    <w:rsid w:val="003710F0"/>
    <w:rsid w:val="00371728"/>
    <w:rsid w:val="0037406A"/>
    <w:rsid w:val="003760D4"/>
    <w:rsid w:val="00376165"/>
    <w:rsid w:val="00377013"/>
    <w:rsid w:val="0037779A"/>
    <w:rsid w:val="00377FF5"/>
    <w:rsid w:val="00380165"/>
    <w:rsid w:val="00380AEA"/>
    <w:rsid w:val="00380FB6"/>
    <w:rsid w:val="00381A72"/>
    <w:rsid w:val="00382590"/>
    <w:rsid w:val="00382ED1"/>
    <w:rsid w:val="00383181"/>
    <w:rsid w:val="003832DA"/>
    <w:rsid w:val="00383719"/>
    <w:rsid w:val="003851B3"/>
    <w:rsid w:val="0038611F"/>
    <w:rsid w:val="0038657A"/>
    <w:rsid w:val="00386A45"/>
    <w:rsid w:val="00386DAF"/>
    <w:rsid w:val="00391BBC"/>
    <w:rsid w:val="00391E15"/>
    <w:rsid w:val="00393085"/>
    <w:rsid w:val="00393627"/>
    <w:rsid w:val="00393E89"/>
    <w:rsid w:val="0039599A"/>
    <w:rsid w:val="00395B7B"/>
    <w:rsid w:val="00395EB6"/>
    <w:rsid w:val="0039642E"/>
    <w:rsid w:val="0039682C"/>
    <w:rsid w:val="003A0800"/>
    <w:rsid w:val="003A1F1A"/>
    <w:rsid w:val="003A29F6"/>
    <w:rsid w:val="003A2A57"/>
    <w:rsid w:val="003A3631"/>
    <w:rsid w:val="003A37D6"/>
    <w:rsid w:val="003A57B4"/>
    <w:rsid w:val="003A5EF5"/>
    <w:rsid w:val="003A6281"/>
    <w:rsid w:val="003A714B"/>
    <w:rsid w:val="003A71B9"/>
    <w:rsid w:val="003B0DE7"/>
    <w:rsid w:val="003B1B62"/>
    <w:rsid w:val="003B2DF3"/>
    <w:rsid w:val="003B2E5C"/>
    <w:rsid w:val="003B42E7"/>
    <w:rsid w:val="003B4A07"/>
    <w:rsid w:val="003B5500"/>
    <w:rsid w:val="003B5A5E"/>
    <w:rsid w:val="003B735B"/>
    <w:rsid w:val="003C0C92"/>
    <w:rsid w:val="003C12DF"/>
    <w:rsid w:val="003C251D"/>
    <w:rsid w:val="003C36FF"/>
    <w:rsid w:val="003C419A"/>
    <w:rsid w:val="003C4A13"/>
    <w:rsid w:val="003C50CD"/>
    <w:rsid w:val="003C5209"/>
    <w:rsid w:val="003C6527"/>
    <w:rsid w:val="003C6C8D"/>
    <w:rsid w:val="003C7697"/>
    <w:rsid w:val="003D0009"/>
    <w:rsid w:val="003D005E"/>
    <w:rsid w:val="003D0F18"/>
    <w:rsid w:val="003D1589"/>
    <w:rsid w:val="003D15E2"/>
    <w:rsid w:val="003D1A67"/>
    <w:rsid w:val="003D1AE7"/>
    <w:rsid w:val="003D245C"/>
    <w:rsid w:val="003D2634"/>
    <w:rsid w:val="003D3ECD"/>
    <w:rsid w:val="003D4753"/>
    <w:rsid w:val="003D5743"/>
    <w:rsid w:val="003D5C1E"/>
    <w:rsid w:val="003D6A1D"/>
    <w:rsid w:val="003D73C0"/>
    <w:rsid w:val="003D7796"/>
    <w:rsid w:val="003D79F0"/>
    <w:rsid w:val="003E06A3"/>
    <w:rsid w:val="003E124A"/>
    <w:rsid w:val="003E1A0D"/>
    <w:rsid w:val="003E1C44"/>
    <w:rsid w:val="003E2563"/>
    <w:rsid w:val="003E3D52"/>
    <w:rsid w:val="003E4867"/>
    <w:rsid w:val="003E499A"/>
    <w:rsid w:val="003E4B7B"/>
    <w:rsid w:val="003E4DD5"/>
    <w:rsid w:val="003E4E86"/>
    <w:rsid w:val="003E5287"/>
    <w:rsid w:val="003E7BCC"/>
    <w:rsid w:val="003F034B"/>
    <w:rsid w:val="003F06E1"/>
    <w:rsid w:val="003F0A28"/>
    <w:rsid w:val="003F0EA7"/>
    <w:rsid w:val="003F33D7"/>
    <w:rsid w:val="003F5B30"/>
    <w:rsid w:val="003F5E8A"/>
    <w:rsid w:val="003F6909"/>
    <w:rsid w:val="003F69A2"/>
    <w:rsid w:val="003F6B12"/>
    <w:rsid w:val="003F6C7B"/>
    <w:rsid w:val="004003A2"/>
    <w:rsid w:val="00400AEB"/>
    <w:rsid w:val="00400BFB"/>
    <w:rsid w:val="00401F1A"/>
    <w:rsid w:val="004032E8"/>
    <w:rsid w:val="00403488"/>
    <w:rsid w:val="004038AA"/>
    <w:rsid w:val="00403DB8"/>
    <w:rsid w:val="00404A8E"/>
    <w:rsid w:val="00405D34"/>
    <w:rsid w:val="00406ABD"/>
    <w:rsid w:val="00406DC7"/>
    <w:rsid w:val="00407D43"/>
    <w:rsid w:val="00407EFA"/>
    <w:rsid w:val="00410341"/>
    <w:rsid w:val="0041193E"/>
    <w:rsid w:val="00411D90"/>
    <w:rsid w:val="00412286"/>
    <w:rsid w:val="00412552"/>
    <w:rsid w:val="00412BEB"/>
    <w:rsid w:val="00412F7A"/>
    <w:rsid w:val="00414C62"/>
    <w:rsid w:val="004153EE"/>
    <w:rsid w:val="00415F76"/>
    <w:rsid w:val="00416BE2"/>
    <w:rsid w:val="0041708C"/>
    <w:rsid w:val="00420C49"/>
    <w:rsid w:val="00420D94"/>
    <w:rsid w:val="004219B0"/>
    <w:rsid w:val="00421F23"/>
    <w:rsid w:val="00423101"/>
    <w:rsid w:val="00423402"/>
    <w:rsid w:val="004242C0"/>
    <w:rsid w:val="004243ED"/>
    <w:rsid w:val="004247D7"/>
    <w:rsid w:val="0042584A"/>
    <w:rsid w:val="00426312"/>
    <w:rsid w:val="00427117"/>
    <w:rsid w:val="00427261"/>
    <w:rsid w:val="0042751B"/>
    <w:rsid w:val="00430235"/>
    <w:rsid w:val="00430DE9"/>
    <w:rsid w:val="00431067"/>
    <w:rsid w:val="00433348"/>
    <w:rsid w:val="00433739"/>
    <w:rsid w:val="00433AD4"/>
    <w:rsid w:val="0043413C"/>
    <w:rsid w:val="00434C2B"/>
    <w:rsid w:val="004350CE"/>
    <w:rsid w:val="004353AF"/>
    <w:rsid w:val="004356ED"/>
    <w:rsid w:val="0043617C"/>
    <w:rsid w:val="00436734"/>
    <w:rsid w:val="00436D08"/>
    <w:rsid w:val="00436E2E"/>
    <w:rsid w:val="004370E8"/>
    <w:rsid w:val="00437CD8"/>
    <w:rsid w:val="004406DD"/>
    <w:rsid w:val="00440839"/>
    <w:rsid w:val="004427C7"/>
    <w:rsid w:val="0044312E"/>
    <w:rsid w:val="00443786"/>
    <w:rsid w:val="00444901"/>
    <w:rsid w:val="00444AC8"/>
    <w:rsid w:val="00446126"/>
    <w:rsid w:val="00450D2B"/>
    <w:rsid w:val="004518CC"/>
    <w:rsid w:val="00454E08"/>
    <w:rsid w:val="004567ED"/>
    <w:rsid w:val="00456CA7"/>
    <w:rsid w:val="004570CD"/>
    <w:rsid w:val="004570FA"/>
    <w:rsid w:val="00457ACF"/>
    <w:rsid w:val="00460C7E"/>
    <w:rsid w:val="0046160F"/>
    <w:rsid w:val="00461916"/>
    <w:rsid w:val="004631BF"/>
    <w:rsid w:val="004650ED"/>
    <w:rsid w:val="00465A15"/>
    <w:rsid w:val="00465F88"/>
    <w:rsid w:val="004660FE"/>
    <w:rsid w:val="00466C7C"/>
    <w:rsid w:val="00467027"/>
    <w:rsid w:val="004670E3"/>
    <w:rsid w:val="004673DA"/>
    <w:rsid w:val="00467EA1"/>
    <w:rsid w:val="004700E6"/>
    <w:rsid w:val="004702A1"/>
    <w:rsid w:val="0047195D"/>
    <w:rsid w:val="00471CCF"/>
    <w:rsid w:val="00472AE9"/>
    <w:rsid w:val="00472DDC"/>
    <w:rsid w:val="004730F4"/>
    <w:rsid w:val="00473983"/>
    <w:rsid w:val="00474501"/>
    <w:rsid w:val="004746BA"/>
    <w:rsid w:val="004755F5"/>
    <w:rsid w:val="004756E3"/>
    <w:rsid w:val="00475EBC"/>
    <w:rsid w:val="0047677D"/>
    <w:rsid w:val="00476FEC"/>
    <w:rsid w:val="004771E9"/>
    <w:rsid w:val="00477743"/>
    <w:rsid w:val="0047793A"/>
    <w:rsid w:val="00477C31"/>
    <w:rsid w:val="00481C59"/>
    <w:rsid w:val="0048216A"/>
    <w:rsid w:val="004842CA"/>
    <w:rsid w:val="00485581"/>
    <w:rsid w:val="00486918"/>
    <w:rsid w:val="00487132"/>
    <w:rsid w:val="00487184"/>
    <w:rsid w:val="0048731E"/>
    <w:rsid w:val="00487BBA"/>
    <w:rsid w:val="00491068"/>
    <w:rsid w:val="00491599"/>
    <w:rsid w:val="00491B30"/>
    <w:rsid w:val="00491CCF"/>
    <w:rsid w:val="00491DE5"/>
    <w:rsid w:val="00492450"/>
    <w:rsid w:val="004929AE"/>
    <w:rsid w:val="004929E7"/>
    <w:rsid w:val="004933A4"/>
    <w:rsid w:val="00493C22"/>
    <w:rsid w:val="004954A8"/>
    <w:rsid w:val="00495B3D"/>
    <w:rsid w:val="00495BF3"/>
    <w:rsid w:val="00495E19"/>
    <w:rsid w:val="00496D87"/>
    <w:rsid w:val="004A05D6"/>
    <w:rsid w:val="004A06E3"/>
    <w:rsid w:val="004A081F"/>
    <w:rsid w:val="004A0C74"/>
    <w:rsid w:val="004A0D24"/>
    <w:rsid w:val="004A0E58"/>
    <w:rsid w:val="004A1436"/>
    <w:rsid w:val="004A3665"/>
    <w:rsid w:val="004A3A42"/>
    <w:rsid w:val="004A5473"/>
    <w:rsid w:val="004A5C6D"/>
    <w:rsid w:val="004A6E55"/>
    <w:rsid w:val="004A791E"/>
    <w:rsid w:val="004A7BE1"/>
    <w:rsid w:val="004B0363"/>
    <w:rsid w:val="004B11B9"/>
    <w:rsid w:val="004B1E30"/>
    <w:rsid w:val="004B24C2"/>
    <w:rsid w:val="004B2E0E"/>
    <w:rsid w:val="004B3125"/>
    <w:rsid w:val="004B40E4"/>
    <w:rsid w:val="004B4792"/>
    <w:rsid w:val="004B5329"/>
    <w:rsid w:val="004B76C6"/>
    <w:rsid w:val="004B7859"/>
    <w:rsid w:val="004C0256"/>
    <w:rsid w:val="004C0F63"/>
    <w:rsid w:val="004C3856"/>
    <w:rsid w:val="004C3D75"/>
    <w:rsid w:val="004C4F72"/>
    <w:rsid w:val="004C73BC"/>
    <w:rsid w:val="004C7C4C"/>
    <w:rsid w:val="004D1E3E"/>
    <w:rsid w:val="004D21A4"/>
    <w:rsid w:val="004D28D8"/>
    <w:rsid w:val="004D2CF5"/>
    <w:rsid w:val="004D2D85"/>
    <w:rsid w:val="004D32F9"/>
    <w:rsid w:val="004D3415"/>
    <w:rsid w:val="004D34B3"/>
    <w:rsid w:val="004D360B"/>
    <w:rsid w:val="004D38C2"/>
    <w:rsid w:val="004D3FAC"/>
    <w:rsid w:val="004D40D6"/>
    <w:rsid w:val="004D4A3D"/>
    <w:rsid w:val="004D4EF5"/>
    <w:rsid w:val="004D5DD8"/>
    <w:rsid w:val="004D5E86"/>
    <w:rsid w:val="004D5F6B"/>
    <w:rsid w:val="004D711C"/>
    <w:rsid w:val="004D7B67"/>
    <w:rsid w:val="004E1997"/>
    <w:rsid w:val="004E252B"/>
    <w:rsid w:val="004E346C"/>
    <w:rsid w:val="004E3542"/>
    <w:rsid w:val="004E3544"/>
    <w:rsid w:val="004E3903"/>
    <w:rsid w:val="004E45A9"/>
    <w:rsid w:val="004E4C19"/>
    <w:rsid w:val="004E573A"/>
    <w:rsid w:val="004E57F4"/>
    <w:rsid w:val="004E676B"/>
    <w:rsid w:val="004E68EC"/>
    <w:rsid w:val="004E763B"/>
    <w:rsid w:val="004E7E7B"/>
    <w:rsid w:val="004F091F"/>
    <w:rsid w:val="004F097B"/>
    <w:rsid w:val="004F151F"/>
    <w:rsid w:val="004F2125"/>
    <w:rsid w:val="004F2AD9"/>
    <w:rsid w:val="004F31DC"/>
    <w:rsid w:val="004F3B29"/>
    <w:rsid w:val="004F4377"/>
    <w:rsid w:val="004F4715"/>
    <w:rsid w:val="004F4790"/>
    <w:rsid w:val="004F5C4A"/>
    <w:rsid w:val="004F5C98"/>
    <w:rsid w:val="004F5D83"/>
    <w:rsid w:val="004F7037"/>
    <w:rsid w:val="004F7D49"/>
    <w:rsid w:val="0050051E"/>
    <w:rsid w:val="00500D66"/>
    <w:rsid w:val="0050215D"/>
    <w:rsid w:val="005022D3"/>
    <w:rsid w:val="00504063"/>
    <w:rsid w:val="0050444B"/>
    <w:rsid w:val="00505FB3"/>
    <w:rsid w:val="00506493"/>
    <w:rsid w:val="0050782F"/>
    <w:rsid w:val="0050786F"/>
    <w:rsid w:val="00507F26"/>
    <w:rsid w:val="0051093B"/>
    <w:rsid w:val="005118B1"/>
    <w:rsid w:val="005133A4"/>
    <w:rsid w:val="00513E73"/>
    <w:rsid w:val="00515741"/>
    <w:rsid w:val="00516AA7"/>
    <w:rsid w:val="00517071"/>
    <w:rsid w:val="00517DE8"/>
    <w:rsid w:val="005203F4"/>
    <w:rsid w:val="00520B7C"/>
    <w:rsid w:val="00521469"/>
    <w:rsid w:val="005215CF"/>
    <w:rsid w:val="00523466"/>
    <w:rsid w:val="00523892"/>
    <w:rsid w:val="005252D8"/>
    <w:rsid w:val="0052546E"/>
    <w:rsid w:val="005260AB"/>
    <w:rsid w:val="0052789C"/>
    <w:rsid w:val="00533422"/>
    <w:rsid w:val="00534C74"/>
    <w:rsid w:val="00534E00"/>
    <w:rsid w:val="00535913"/>
    <w:rsid w:val="00535E15"/>
    <w:rsid w:val="005371B8"/>
    <w:rsid w:val="00537C6C"/>
    <w:rsid w:val="00537F7B"/>
    <w:rsid w:val="00540858"/>
    <w:rsid w:val="00541A18"/>
    <w:rsid w:val="00542957"/>
    <w:rsid w:val="0054525E"/>
    <w:rsid w:val="00545ECD"/>
    <w:rsid w:val="005460F4"/>
    <w:rsid w:val="00546201"/>
    <w:rsid w:val="005464AD"/>
    <w:rsid w:val="00546C94"/>
    <w:rsid w:val="00550B60"/>
    <w:rsid w:val="00551169"/>
    <w:rsid w:val="00551F71"/>
    <w:rsid w:val="00552834"/>
    <w:rsid w:val="00552CCD"/>
    <w:rsid w:val="0055345A"/>
    <w:rsid w:val="00554042"/>
    <w:rsid w:val="00554867"/>
    <w:rsid w:val="0055562E"/>
    <w:rsid w:val="005564EE"/>
    <w:rsid w:val="005570AF"/>
    <w:rsid w:val="005578B9"/>
    <w:rsid w:val="00557C32"/>
    <w:rsid w:val="0056003F"/>
    <w:rsid w:val="00560AF1"/>
    <w:rsid w:val="00560DBB"/>
    <w:rsid w:val="00561BEB"/>
    <w:rsid w:val="00561D55"/>
    <w:rsid w:val="0056285C"/>
    <w:rsid w:val="00563BB1"/>
    <w:rsid w:val="005640D5"/>
    <w:rsid w:val="0056410F"/>
    <w:rsid w:val="0056422D"/>
    <w:rsid w:val="005642C0"/>
    <w:rsid w:val="00564D74"/>
    <w:rsid w:val="00564E9E"/>
    <w:rsid w:val="00565D72"/>
    <w:rsid w:val="00566021"/>
    <w:rsid w:val="00566864"/>
    <w:rsid w:val="0056701D"/>
    <w:rsid w:val="005677F5"/>
    <w:rsid w:val="005729C9"/>
    <w:rsid w:val="0057334C"/>
    <w:rsid w:val="00574C41"/>
    <w:rsid w:val="00574CD3"/>
    <w:rsid w:val="00576414"/>
    <w:rsid w:val="00580561"/>
    <w:rsid w:val="00580CB3"/>
    <w:rsid w:val="0058132D"/>
    <w:rsid w:val="00581A87"/>
    <w:rsid w:val="00582DE4"/>
    <w:rsid w:val="0058316E"/>
    <w:rsid w:val="00583CAC"/>
    <w:rsid w:val="00583CCE"/>
    <w:rsid w:val="0058446D"/>
    <w:rsid w:val="0058456C"/>
    <w:rsid w:val="00584E24"/>
    <w:rsid w:val="0058506D"/>
    <w:rsid w:val="005853DE"/>
    <w:rsid w:val="00585B04"/>
    <w:rsid w:val="00585C1F"/>
    <w:rsid w:val="00586774"/>
    <w:rsid w:val="00586B8B"/>
    <w:rsid w:val="0058722F"/>
    <w:rsid w:val="0059044C"/>
    <w:rsid w:val="0059068D"/>
    <w:rsid w:val="00590717"/>
    <w:rsid w:val="005910A6"/>
    <w:rsid w:val="00592250"/>
    <w:rsid w:val="0059276B"/>
    <w:rsid w:val="00594898"/>
    <w:rsid w:val="005949DD"/>
    <w:rsid w:val="00595540"/>
    <w:rsid w:val="00595622"/>
    <w:rsid w:val="00595E0B"/>
    <w:rsid w:val="005964D3"/>
    <w:rsid w:val="005A0304"/>
    <w:rsid w:val="005A04A1"/>
    <w:rsid w:val="005A0501"/>
    <w:rsid w:val="005A300B"/>
    <w:rsid w:val="005A580C"/>
    <w:rsid w:val="005A6677"/>
    <w:rsid w:val="005A72A1"/>
    <w:rsid w:val="005A72E1"/>
    <w:rsid w:val="005A7C0F"/>
    <w:rsid w:val="005B1562"/>
    <w:rsid w:val="005B20AA"/>
    <w:rsid w:val="005B2320"/>
    <w:rsid w:val="005B64C5"/>
    <w:rsid w:val="005B6ED8"/>
    <w:rsid w:val="005B737A"/>
    <w:rsid w:val="005C253B"/>
    <w:rsid w:val="005C2767"/>
    <w:rsid w:val="005C36C3"/>
    <w:rsid w:val="005C38CB"/>
    <w:rsid w:val="005C4A2D"/>
    <w:rsid w:val="005C4AEB"/>
    <w:rsid w:val="005C4BF9"/>
    <w:rsid w:val="005C5B10"/>
    <w:rsid w:val="005C6D7A"/>
    <w:rsid w:val="005D00DD"/>
    <w:rsid w:val="005D2A95"/>
    <w:rsid w:val="005D360A"/>
    <w:rsid w:val="005D3DF4"/>
    <w:rsid w:val="005D3EA2"/>
    <w:rsid w:val="005D4253"/>
    <w:rsid w:val="005D42F5"/>
    <w:rsid w:val="005D4707"/>
    <w:rsid w:val="005D4BF4"/>
    <w:rsid w:val="005D595F"/>
    <w:rsid w:val="005D5CBF"/>
    <w:rsid w:val="005D6147"/>
    <w:rsid w:val="005D649F"/>
    <w:rsid w:val="005D6C5B"/>
    <w:rsid w:val="005D7623"/>
    <w:rsid w:val="005D765A"/>
    <w:rsid w:val="005E062D"/>
    <w:rsid w:val="005E0FF3"/>
    <w:rsid w:val="005E116A"/>
    <w:rsid w:val="005E1B40"/>
    <w:rsid w:val="005E1B98"/>
    <w:rsid w:val="005E356D"/>
    <w:rsid w:val="005E37D8"/>
    <w:rsid w:val="005E3EE2"/>
    <w:rsid w:val="005E4BAF"/>
    <w:rsid w:val="005E4DA1"/>
    <w:rsid w:val="005E5D1B"/>
    <w:rsid w:val="005E666D"/>
    <w:rsid w:val="005E66A5"/>
    <w:rsid w:val="005E6D97"/>
    <w:rsid w:val="005F241C"/>
    <w:rsid w:val="005F2E28"/>
    <w:rsid w:val="005F319E"/>
    <w:rsid w:val="005F322D"/>
    <w:rsid w:val="005F3235"/>
    <w:rsid w:val="005F359D"/>
    <w:rsid w:val="005F38C8"/>
    <w:rsid w:val="005F5DEA"/>
    <w:rsid w:val="005F6236"/>
    <w:rsid w:val="005F67C7"/>
    <w:rsid w:val="005F72C8"/>
    <w:rsid w:val="005F7716"/>
    <w:rsid w:val="00600576"/>
    <w:rsid w:val="006009BF"/>
    <w:rsid w:val="0060108E"/>
    <w:rsid w:val="00601677"/>
    <w:rsid w:val="00601B3F"/>
    <w:rsid w:val="006040B0"/>
    <w:rsid w:val="006048F2"/>
    <w:rsid w:val="006052D9"/>
    <w:rsid w:val="00605B0B"/>
    <w:rsid w:val="00607977"/>
    <w:rsid w:val="006108C8"/>
    <w:rsid w:val="006110D1"/>
    <w:rsid w:val="006111F1"/>
    <w:rsid w:val="006121D2"/>
    <w:rsid w:val="00613D01"/>
    <w:rsid w:val="00613E91"/>
    <w:rsid w:val="006140B1"/>
    <w:rsid w:val="006154DE"/>
    <w:rsid w:val="0061744A"/>
    <w:rsid w:val="00617B8B"/>
    <w:rsid w:val="00620389"/>
    <w:rsid w:val="00620696"/>
    <w:rsid w:val="0062076B"/>
    <w:rsid w:val="0062081E"/>
    <w:rsid w:val="00620A2C"/>
    <w:rsid w:val="00620A5A"/>
    <w:rsid w:val="006210A3"/>
    <w:rsid w:val="00621392"/>
    <w:rsid w:val="0062207C"/>
    <w:rsid w:val="00622689"/>
    <w:rsid w:val="006226B6"/>
    <w:rsid w:val="00622729"/>
    <w:rsid w:val="00622E27"/>
    <w:rsid w:val="00622E4F"/>
    <w:rsid w:val="00622E82"/>
    <w:rsid w:val="006232B7"/>
    <w:rsid w:val="006244E4"/>
    <w:rsid w:val="006246A1"/>
    <w:rsid w:val="0062613C"/>
    <w:rsid w:val="00627212"/>
    <w:rsid w:val="00627C7C"/>
    <w:rsid w:val="00630482"/>
    <w:rsid w:val="00630628"/>
    <w:rsid w:val="00631D6C"/>
    <w:rsid w:val="00631F3E"/>
    <w:rsid w:val="006322A6"/>
    <w:rsid w:val="0063491E"/>
    <w:rsid w:val="006354D0"/>
    <w:rsid w:val="006361A1"/>
    <w:rsid w:val="00636819"/>
    <w:rsid w:val="006368A6"/>
    <w:rsid w:val="00636AB7"/>
    <w:rsid w:val="0063718E"/>
    <w:rsid w:val="006372E2"/>
    <w:rsid w:val="006410AB"/>
    <w:rsid w:val="00641A39"/>
    <w:rsid w:val="00641EA1"/>
    <w:rsid w:val="006432BF"/>
    <w:rsid w:val="00645F83"/>
    <w:rsid w:val="00646486"/>
    <w:rsid w:val="00650463"/>
    <w:rsid w:val="00650BD7"/>
    <w:rsid w:val="006520A8"/>
    <w:rsid w:val="00654573"/>
    <w:rsid w:val="0065529D"/>
    <w:rsid w:val="0065547E"/>
    <w:rsid w:val="00655EEC"/>
    <w:rsid w:val="0065680D"/>
    <w:rsid w:val="00660C82"/>
    <w:rsid w:val="006615FC"/>
    <w:rsid w:val="00661B44"/>
    <w:rsid w:val="00662E7E"/>
    <w:rsid w:val="0066641B"/>
    <w:rsid w:val="00666552"/>
    <w:rsid w:val="00666B53"/>
    <w:rsid w:val="00667174"/>
    <w:rsid w:val="00670AFC"/>
    <w:rsid w:val="00671984"/>
    <w:rsid w:val="0067201A"/>
    <w:rsid w:val="00672BF1"/>
    <w:rsid w:val="00673767"/>
    <w:rsid w:val="00673872"/>
    <w:rsid w:val="00674C7D"/>
    <w:rsid w:val="00675356"/>
    <w:rsid w:val="006756E9"/>
    <w:rsid w:val="00675E3F"/>
    <w:rsid w:val="00676A39"/>
    <w:rsid w:val="006773D7"/>
    <w:rsid w:val="006774D1"/>
    <w:rsid w:val="006774E9"/>
    <w:rsid w:val="006824FF"/>
    <w:rsid w:val="006826D5"/>
    <w:rsid w:val="006827DD"/>
    <w:rsid w:val="00682AB7"/>
    <w:rsid w:val="00682AEA"/>
    <w:rsid w:val="00682E09"/>
    <w:rsid w:val="006836F6"/>
    <w:rsid w:val="00683CD3"/>
    <w:rsid w:val="00685B06"/>
    <w:rsid w:val="006862D3"/>
    <w:rsid w:val="0069194A"/>
    <w:rsid w:val="00691C01"/>
    <w:rsid w:val="00693723"/>
    <w:rsid w:val="00694479"/>
    <w:rsid w:val="006944C0"/>
    <w:rsid w:val="006948B7"/>
    <w:rsid w:val="0069518F"/>
    <w:rsid w:val="006959D5"/>
    <w:rsid w:val="00696C2B"/>
    <w:rsid w:val="006971AB"/>
    <w:rsid w:val="00697839"/>
    <w:rsid w:val="006A053B"/>
    <w:rsid w:val="006A08EA"/>
    <w:rsid w:val="006A0AB6"/>
    <w:rsid w:val="006A1411"/>
    <w:rsid w:val="006A15BE"/>
    <w:rsid w:val="006A1ABA"/>
    <w:rsid w:val="006A1DC4"/>
    <w:rsid w:val="006A3AF1"/>
    <w:rsid w:val="006A3E41"/>
    <w:rsid w:val="006A51E1"/>
    <w:rsid w:val="006A577E"/>
    <w:rsid w:val="006A5D73"/>
    <w:rsid w:val="006A6CCF"/>
    <w:rsid w:val="006B0C56"/>
    <w:rsid w:val="006B2A8B"/>
    <w:rsid w:val="006B3E3B"/>
    <w:rsid w:val="006B49D2"/>
    <w:rsid w:val="006B4C0E"/>
    <w:rsid w:val="006B53CF"/>
    <w:rsid w:val="006B5492"/>
    <w:rsid w:val="006B5BA4"/>
    <w:rsid w:val="006B6BB0"/>
    <w:rsid w:val="006C09B7"/>
    <w:rsid w:val="006C0F00"/>
    <w:rsid w:val="006C1373"/>
    <w:rsid w:val="006C1B5D"/>
    <w:rsid w:val="006C26ED"/>
    <w:rsid w:val="006C2710"/>
    <w:rsid w:val="006C31FB"/>
    <w:rsid w:val="006C5B20"/>
    <w:rsid w:val="006C66E3"/>
    <w:rsid w:val="006C7551"/>
    <w:rsid w:val="006C7587"/>
    <w:rsid w:val="006C795C"/>
    <w:rsid w:val="006D0795"/>
    <w:rsid w:val="006D0C3F"/>
    <w:rsid w:val="006D0EB8"/>
    <w:rsid w:val="006D25AA"/>
    <w:rsid w:val="006D27DF"/>
    <w:rsid w:val="006D2A80"/>
    <w:rsid w:val="006D3533"/>
    <w:rsid w:val="006D3FBF"/>
    <w:rsid w:val="006D3FE9"/>
    <w:rsid w:val="006D400D"/>
    <w:rsid w:val="006D423C"/>
    <w:rsid w:val="006D48B8"/>
    <w:rsid w:val="006D4DAA"/>
    <w:rsid w:val="006D6458"/>
    <w:rsid w:val="006D75E5"/>
    <w:rsid w:val="006D760B"/>
    <w:rsid w:val="006D7AFE"/>
    <w:rsid w:val="006E1601"/>
    <w:rsid w:val="006E16C8"/>
    <w:rsid w:val="006E16D7"/>
    <w:rsid w:val="006E22B2"/>
    <w:rsid w:val="006E303D"/>
    <w:rsid w:val="006E319B"/>
    <w:rsid w:val="006E3273"/>
    <w:rsid w:val="006E36A8"/>
    <w:rsid w:val="006E3C69"/>
    <w:rsid w:val="006E3CDA"/>
    <w:rsid w:val="006E5A40"/>
    <w:rsid w:val="006E64FC"/>
    <w:rsid w:val="006E670A"/>
    <w:rsid w:val="006E6919"/>
    <w:rsid w:val="006E6ACB"/>
    <w:rsid w:val="006E6FA0"/>
    <w:rsid w:val="006E7421"/>
    <w:rsid w:val="006F0DDD"/>
    <w:rsid w:val="006F178C"/>
    <w:rsid w:val="006F1931"/>
    <w:rsid w:val="006F1D5B"/>
    <w:rsid w:val="006F2B2A"/>
    <w:rsid w:val="006F2E2A"/>
    <w:rsid w:val="006F30D2"/>
    <w:rsid w:val="006F32DF"/>
    <w:rsid w:val="006F3411"/>
    <w:rsid w:val="006F38AD"/>
    <w:rsid w:val="006F4EFB"/>
    <w:rsid w:val="006F5140"/>
    <w:rsid w:val="006F57AC"/>
    <w:rsid w:val="006F5C6D"/>
    <w:rsid w:val="006F6891"/>
    <w:rsid w:val="006F7BE9"/>
    <w:rsid w:val="0070084E"/>
    <w:rsid w:val="00701A5C"/>
    <w:rsid w:val="00702FD9"/>
    <w:rsid w:val="00703B38"/>
    <w:rsid w:val="00703D42"/>
    <w:rsid w:val="0070468C"/>
    <w:rsid w:val="00704A8F"/>
    <w:rsid w:val="00705087"/>
    <w:rsid w:val="00705E64"/>
    <w:rsid w:val="0070797C"/>
    <w:rsid w:val="00710548"/>
    <w:rsid w:val="007110BE"/>
    <w:rsid w:val="007117C9"/>
    <w:rsid w:val="00711D04"/>
    <w:rsid w:val="0071263F"/>
    <w:rsid w:val="00712BB5"/>
    <w:rsid w:val="0071305A"/>
    <w:rsid w:val="0071439A"/>
    <w:rsid w:val="00714F19"/>
    <w:rsid w:val="007150E6"/>
    <w:rsid w:val="007157C8"/>
    <w:rsid w:val="00715B99"/>
    <w:rsid w:val="00716127"/>
    <w:rsid w:val="0071717E"/>
    <w:rsid w:val="00717364"/>
    <w:rsid w:val="0071799A"/>
    <w:rsid w:val="00720FE5"/>
    <w:rsid w:val="00721AF6"/>
    <w:rsid w:val="00722259"/>
    <w:rsid w:val="00722B5A"/>
    <w:rsid w:val="00723AF6"/>
    <w:rsid w:val="00724048"/>
    <w:rsid w:val="00726742"/>
    <w:rsid w:val="00726813"/>
    <w:rsid w:val="007309DC"/>
    <w:rsid w:val="00731077"/>
    <w:rsid w:val="00731114"/>
    <w:rsid w:val="0073123A"/>
    <w:rsid w:val="0073227E"/>
    <w:rsid w:val="00732779"/>
    <w:rsid w:val="00732A75"/>
    <w:rsid w:val="00732FB3"/>
    <w:rsid w:val="007332DF"/>
    <w:rsid w:val="00733DD5"/>
    <w:rsid w:val="00734BFD"/>
    <w:rsid w:val="00734F8A"/>
    <w:rsid w:val="00735A38"/>
    <w:rsid w:val="00740340"/>
    <w:rsid w:val="00740752"/>
    <w:rsid w:val="00741C55"/>
    <w:rsid w:val="00742579"/>
    <w:rsid w:val="00742DE9"/>
    <w:rsid w:val="00743032"/>
    <w:rsid w:val="00747765"/>
    <w:rsid w:val="00747D9C"/>
    <w:rsid w:val="00750D2E"/>
    <w:rsid w:val="00751768"/>
    <w:rsid w:val="00751D2E"/>
    <w:rsid w:val="007527B4"/>
    <w:rsid w:val="00753CCC"/>
    <w:rsid w:val="00753D18"/>
    <w:rsid w:val="00754553"/>
    <w:rsid w:val="00755094"/>
    <w:rsid w:val="007551E1"/>
    <w:rsid w:val="007564F5"/>
    <w:rsid w:val="0075662C"/>
    <w:rsid w:val="007572B9"/>
    <w:rsid w:val="0075795A"/>
    <w:rsid w:val="00757D6F"/>
    <w:rsid w:val="00760BAB"/>
    <w:rsid w:val="00760DBB"/>
    <w:rsid w:val="00761069"/>
    <w:rsid w:val="00762DEE"/>
    <w:rsid w:val="0076348B"/>
    <w:rsid w:val="00763604"/>
    <w:rsid w:val="00763AE3"/>
    <w:rsid w:val="007643B9"/>
    <w:rsid w:val="007649FA"/>
    <w:rsid w:val="007665D2"/>
    <w:rsid w:val="00767FA3"/>
    <w:rsid w:val="00770149"/>
    <w:rsid w:val="00771B74"/>
    <w:rsid w:val="0077222E"/>
    <w:rsid w:val="007726EA"/>
    <w:rsid w:val="00772B44"/>
    <w:rsid w:val="007730D6"/>
    <w:rsid w:val="00774403"/>
    <w:rsid w:val="00774477"/>
    <w:rsid w:val="007752E6"/>
    <w:rsid w:val="00775803"/>
    <w:rsid w:val="007767B9"/>
    <w:rsid w:val="007771F6"/>
    <w:rsid w:val="00780496"/>
    <w:rsid w:val="00780702"/>
    <w:rsid w:val="00781862"/>
    <w:rsid w:val="007822EC"/>
    <w:rsid w:val="007829D1"/>
    <w:rsid w:val="00782A58"/>
    <w:rsid w:val="00783CB4"/>
    <w:rsid w:val="00784A4A"/>
    <w:rsid w:val="0078539C"/>
    <w:rsid w:val="007863E6"/>
    <w:rsid w:val="00786FCD"/>
    <w:rsid w:val="007876C8"/>
    <w:rsid w:val="007876E5"/>
    <w:rsid w:val="00790211"/>
    <w:rsid w:val="0079050C"/>
    <w:rsid w:val="007908C1"/>
    <w:rsid w:val="007930E0"/>
    <w:rsid w:val="00793612"/>
    <w:rsid w:val="00794782"/>
    <w:rsid w:val="00794CC4"/>
    <w:rsid w:val="00795A21"/>
    <w:rsid w:val="00795D10"/>
    <w:rsid w:val="00796482"/>
    <w:rsid w:val="0079665D"/>
    <w:rsid w:val="007969E7"/>
    <w:rsid w:val="007A143B"/>
    <w:rsid w:val="007A2AA3"/>
    <w:rsid w:val="007A2FBD"/>
    <w:rsid w:val="007A3B46"/>
    <w:rsid w:val="007A3DA0"/>
    <w:rsid w:val="007A455E"/>
    <w:rsid w:val="007A527D"/>
    <w:rsid w:val="007A53C6"/>
    <w:rsid w:val="007A5C62"/>
    <w:rsid w:val="007A6BF6"/>
    <w:rsid w:val="007A7899"/>
    <w:rsid w:val="007B0D04"/>
    <w:rsid w:val="007B2A07"/>
    <w:rsid w:val="007B4ED1"/>
    <w:rsid w:val="007B5ED6"/>
    <w:rsid w:val="007B63FB"/>
    <w:rsid w:val="007B6740"/>
    <w:rsid w:val="007B69B2"/>
    <w:rsid w:val="007B7C83"/>
    <w:rsid w:val="007C07BC"/>
    <w:rsid w:val="007C1022"/>
    <w:rsid w:val="007C17EC"/>
    <w:rsid w:val="007C28B9"/>
    <w:rsid w:val="007C29C9"/>
    <w:rsid w:val="007C2B39"/>
    <w:rsid w:val="007C3464"/>
    <w:rsid w:val="007C3E73"/>
    <w:rsid w:val="007C5AB1"/>
    <w:rsid w:val="007C5BEC"/>
    <w:rsid w:val="007C72CF"/>
    <w:rsid w:val="007D03CB"/>
    <w:rsid w:val="007D0CDB"/>
    <w:rsid w:val="007D203B"/>
    <w:rsid w:val="007D2522"/>
    <w:rsid w:val="007D25C1"/>
    <w:rsid w:val="007D288E"/>
    <w:rsid w:val="007D6338"/>
    <w:rsid w:val="007D6554"/>
    <w:rsid w:val="007D7103"/>
    <w:rsid w:val="007D713E"/>
    <w:rsid w:val="007D785C"/>
    <w:rsid w:val="007D7DBA"/>
    <w:rsid w:val="007E07EE"/>
    <w:rsid w:val="007E0C1F"/>
    <w:rsid w:val="007E20CC"/>
    <w:rsid w:val="007E22C7"/>
    <w:rsid w:val="007E2B11"/>
    <w:rsid w:val="007E3A95"/>
    <w:rsid w:val="007E45EB"/>
    <w:rsid w:val="007E465D"/>
    <w:rsid w:val="007E4A72"/>
    <w:rsid w:val="007E5930"/>
    <w:rsid w:val="007F0F66"/>
    <w:rsid w:val="007F1C9A"/>
    <w:rsid w:val="007F21AD"/>
    <w:rsid w:val="007F232B"/>
    <w:rsid w:val="007F27C4"/>
    <w:rsid w:val="007F329A"/>
    <w:rsid w:val="007F3487"/>
    <w:rsid w:val="007F3832"/>
    <w:rsid w:val="007F3B3A"/>
    <w:rsid w:val="007F403B"/>
    <w:rsid w:val="007F4097"/>
    <w:rsid w:val="007F5977"/>
    <w:rsid w:val="007F6F4B"/>
    <w:rsid w:val="007F7440"/>
    <w:rsid w:val="00801924"/>
    <w:rsid w:val="00801D32"/>
    <w:rsid w:val="008022D0"/>
    <w:rsid w:val="008028FF"/>
    <w:rsid w:val="00803066"/>
    <w:rsid w:val="0080388A"/>
    <w:rsid w:val="00803D5F"/>
    <w:rsid w:val="00803DF8"/>
    <w:rsid w:val="00804F37"/>
    <w:rsid w:val="0080543E"/>
    <w:rsid w:val="008059B5"/>
    <w:rsid w:val="0080673F"/>
    <w:rsid w:val="0080799E"/>
    <w:rsid w:val="00807A38"/>
    <w:rsid w:val="00807DA2"/>
    <w:rsid w:val="008100BB"/>
    <w:rsid w:val="008104A5"/>
    <w:rsid w:val="00810B8E"/>
    <w:rsid w:val="00811357"/>
    <w:rsid w:val="00811AED"/>
    <w:rsid w:val="00811C5E"/>
    <w:rsid w:val="00813F12"/>
    <w:rsid w:val="008150AF"/>
    <w:rsid w:val="00815784"/>
    <w:rsid w:val="008164B1"/>
    <w:rsid w:val="00820BA8"/>
    <w:rsid w:val="00821EE9"/>
    <w:rsid w:val="008226BF"/>
    <w:rsid w:val="008228D5"/>
    <w:rsid w:val="00822F22"/>
    <w:rsid w:val="00822F86"/>
    <w:rsid w:val="00824AFA"/>
    <w:rsid w:val="0082540A"/>
    <w:rsid w:val="008254C0"/>
    <w:rsid w:val="00827852"/>
    <w:rsid w:val="0082793B"/>
    <w:rsid w:val="00827A3D"/>
    <w:rsid w:val="00827EF9"/>
    <w:rsid w:val="0083035E"/>
    <w:rsid w:val="008309EB"/>
    <w:rsid w:val="0083100D"/>
    <w:rsid w:val="00832E77"/>
    <w:rsid w:val="00833CC5"/>
    <w:rsid w:val="00833D52"/>
    <w:rsid w:val="00834563"/>
    <w:rsid w:val="00836D61"/>
    <w:rsid w:val="008373CE"/>
    <w:rsid w:val="00837432"/>
    <w:rsid w:val="008403F2"/>
    <w:rsid w:val="00840F37"/>
    <w:rsid w:val="00841496"/>
    <w:rsid w:val="00842B3C"/>
    <w:rsid w:val="008436C8"/>
    <w:rsid w:val="008453FA"/>
    <w:rsid w:val="00846002"/>
    <w:rsid w:val="0084690D"/>
    <w:rsid w:val="00847894"/>
    <w:rsid w:val="00847C6B"/>
    <w:rsid w:val="00850E95"/>
    <w:rsid w:val="0085137C"/>
    <w:rsid w:val="008515F0"/>
    <w:rsid w:val="00851A46"/>
    <w:rsid w:val="00852E73"/>
    <w:rsid w:val="00853399"/>
    <w:rsid w:val="008536B1"/>
    <w:rsid w:val="00853FBD"/>
    <w:rsid w:val="00855723"/>
    <w:rsid w:val="00860278"/>
    <w:rsid w:val="00860B03"/>
    <w:rsid w:val="008612ED"/>
    <w:rsid w:val="00861F70"/>
    <w:rsid w:val="008620A8"/>
    <w:rsid w:val="008620BA"/>
    <w:rsid w:val="00862527"/>
    <w:rsid w:val="00862A36"/>
    <w:rsid w:val="00864FB6"/>
    <w:rsid w:val="0086679B"/>
    <w:rsid w:val="00867687"/>
    <w:rsid w:val="00867F3E"/>
    <w:rsid w:val="008701BE"/>
    <w:rsid w:val="008708B2"/>
    <w:rsid w:val="00870DFE"/>
    <w:rsid w:val="0087258E"/>
    <w:rsid w:val="00873865"/>
    <w:rsid w:val="00873F01"/>
    <w:rsid w:val="008743E7"/>
    <w:rsid w:val="008750A1"/>
    <w:rsid w:val="00875407"/>
    <w:rsid w:val="008759AA"/>
    <w:rsid w:val="00876C4F"/>
    <w:rsid w:val="00876CBD"/>
    <w:rsid w:val="00877197"/>
    <w:rsid w:val="0088156C"/>
    <w:rsid w:val="008816A4"/>
    <w:rsid w:val="00882623"/>
    <w:rsid w:val="00882998"/>
    <w:rsid w:val="00883182"/>
    <w:rsid w:val="008836FD"/>
    <w:rsid w:val="00883DFF"/>
    <w:rsid w:val="0088524F"/>
    <w:rsid w:val="0088575C"/>
    <w:rsid w:val="008858B1"/>
    <w:rsid w:val="008869F8"/>
    <w:rsid w:val="00886C29"/>
    <w:rsid w:val="008871E2"/>
    <w:rsid w:val="008873F0"/>
    <w:rsid w:val="00887901"/>
    <w:rsid w:val="00891148"/>
    <w:rsid w:val="00893FA3"/>
    <w:rsid w:val="00894422"/>
    <w:rsid w:val="00897934"/>
    <w:rsid w:val="008A183E"/>
    <w:rsid w:val="008A1A1B"/>
    <w:rsid w:val="008A1F28"/>
    <w:rsid w:val="008A24D4"/>
    <w:rsid w:val="008A2C1B"/>
    <w:rsid w:val="008A467B"/>
    <w:rsid w:val="008A4ADD"/>
    <w:rsid w:val="008A6393"/>
    <w:rsid w:val="008A73CD"/>
    <w:rsid w:val="008A76E3"/>
    <w:rsid w:val="008B017F"/>
    <w:rsid w:val="008B02F6"/>
    <w:rsid w:val="008B1F70"/>
    <w:rsid w:val="008B206C"/>
    <w:rsid w:val="008B20AE"/>
    <w:rsid w:val="008B2687"/>
    <w:rsid w:val="008B2D44"/>
    <w:rsid w:val="008B3BA1"/>
    <w:rsid w:val="008B4BF2"/>
    <w:rsid w:val="008B51F9"/>
    <w:rsid w:val="008B5B85"/>
    <w:rsid w:val="008B61D9"/>
    <w:rsid w:val="008B65B5"/>
    <w:rsid w:val="008B79E2"/>
    <w:rsid w:val="008C0E21"/>
    <w:rsid w:val="008C1220"/>
    <w:rsid w:val="008C12C1"/>
    <w:rsid w:val="008C14F6"/>
    <w:rsid w:val="008C1FCA"/>
    <w:rsid w:val="008C2026"/>
    <w:rsid w:val="008C358C"/>
    <w:rsid w:val="008C3BCA"/>
    <w:rsid w:val="008C3EBC"/>
    <w:rsid w:val="008C5E23"/>
    <w:rsid w:val="008C6228"/>
    <w:rsid w:val="008C69CA"/>
    <w:rsid w:val="008C6C97"/>
    <w:rsid w:val="008C7696"/>
    <w:rsid w:val="008C7B71"/>
    <w:rsid w:val="008D0A1E"/>
    <w:rsid w:val="008D19A4"/>
    <w:rsid w:val="008D1B19"/>
    <w:rsid w:val="008D2413"/>
    <w:rsid w:val="008D2742"/>
    <w:rsid w:val="008D2CE8"/>
    <w:rsid w:val="008D43AD"/>
    <w:rsid w:val="008D4852"/>
    <w:rsid w:val="008D4D03"/>
    <w:rsid w:val="008D4D84"/>
    <w:rsid w:val="008D60F4"/>
    <w:rsid w:val="008D68CA"/>
    <w:rsid w:val="008E0A0D"/>
    <w:rsid w:val="008E1C2F"/>
    <w:rsid w:val="008E24FD"/>
    <w:rsid w:val="008E3BBD"/>
    <w:rsid w:val="008E4571"/>
    <w:rsid w:val="008E46B7"/>
    <w:rsid w:val="008E497B"/>
    <w:rsid w:val="008E4FF2"/>
    <w:rsid w:val="008E57F3"/>
    <w:rsid w:val="008E6027"/>
    <w:rsid w:val="008E7C59"/>
    <w:rsid w:val="008E7F4F"/>
    <w:rsid w:val="008F1B25"/>
    <w:rsid w:val="008F1E4F"/>
    <w:rsid w:val="008F22E0"/>
    <w:rsid w:val="008F3270"/>
    <w:rsid w:val="008F3A35"/>
    <w:rsid w:val="008F3DB5"/>
    <w:rsid w:val="008F472D"/>
    <w:rsid w:val="008F5A00"/>
    <w:rsid w:val="008F5CA1"/>
    <w:rsid w:val="008F612E"/>
    <w:rsid w:val="0090137C"/>
    <w:rsid w:val="00901724"/>
    <w:rsid w:val="00901FED"/>
    <w:rsid w:val="00902771"/>
    <w:rsid w:val="00902F59"/>
    <w:rsid w:val="0090395E"/>
    <w:rsid w:val="009041D9"/>
    <w:rsid w:val="0090421B"/>
    <w:rsid w:val="0090485F"/>
    <w:rsid w:val="0090612C"/>
    <w:rsid w:val="00910549"/>
    <w:rsid w:val="00910642"/>
    <w:rsid w:val="00910650"/>
    <w:rsid w:val="0091145A"/>
    <w:rsid w:val="00911996"/>
    <w:rsid w:val="0091270B"/>
    <w:rsid w:val="00912859"/>
    <w:rsid w:val="00912936"/>
    <w:rsid w:val="00913002"/>
    <w:rsid w:val="0091310F"/>
    <w:rsid w:val="00913406"/>
    <w:rsid w:val="00913870"/>
    <w:rsid w:val="00913AEC"/>
    <w:rsid w:val="00913B28"/>
    <w:rsid w:val="009141CC"/>
    <w:rsid w:val="00914D30"/>
    <w:rsid w:val="00915618"/>
    <w:rsid w:val="0091583C"/>
    <w:rsid w:val="00915992"/>
    <w:rsid w:val="00915FA5"/>
    <w:rsid w:val="0091705D"/>
    <w:rsid w:val="009173C9"/>
    <w:rsid w:val="00920290"/>
    <w:rsid w:val="009210B4"/>
    <w:rsid w:val="00921E11"/>
    <w:rsid w:val="009222E5"/>
    <w:rsid w:val="00922FDA"/>
    <w:rsid w:val="00923184"/>
    <w:rsid w:val="00923DFA"/>
    <w:rsid w:val="0092431B"/>
    <w:rsid w:val="009243AE"/>
    <w:rsid w:val="00924D4A"/>
    <w:rsid w:val="0092665F"/>
    <w:rsid w:val="00926991"/>
    <w:rsid w:val="00927231"/>
    <w:rsid w:val="0092757A"/>
    <w:rsid w:val="0092770D"/>
    <w:rsid w:val="00927F61"/>
    <w:rsid w:val="009301F2"/>
    <w:rsid w:val="00931DF5"/>
    <w:rsid w:val="00931EEB"/>
    <w:rsid w:val="0093331C"/>
    <w:rsid w:val="00933B91"/>
    <w:rsid w:val="00933D75"/>
    <w:rsid w:val="009349B6"/>
    <w:rsid w:val="00934A84"/>
    <w:rsid w:val="00935E58"/>
    <w:rsid w:val="009362F8"/>
    <w:rsid w:val="009372AB"/>
    <w:rsid w:val="00937A58"/>
    <w:rsid w:val="00937E58"/>
    <w:rsid w:val="0094004A"/>
    <w:rsid w:val="0094089B"/>
    <w:rsid w:val="00940C0F"/>
    <w:rsid w:val="00943646"/>
    <w:rsid w:val="00943A1F"/>
    <w:rsid w:val="009447C0"/>
    <w:rsid w:val="00944BD1"/>
    <w:rsid w:val="009450BF"/>
    <w:rsid w:val="00945166"/>
    <w:rsid w:val="009456A3"/>
    <w:rsid w:val="00946563"/>
    <w:rsid w:val="009470E8"/>
    <w:rsid w:val="00947578"/>
    <w:rsid w:val="009506CA"/>
    <w:rsid w:val="00950F8F"/>
    <w:rsid w:val="00951D75"/>
    <w:rsid w:val="00951DC6"/>
    <w:rsid w:val="009526B0"/>
    <w:rsid w:val="009550CD"/>
    <w:rsid w:val="009551AF"/>
    <w:rsid w:val="00955E99"/>
    <w:rsid w:val="00956231"/>
    <w:rsid w:val="00957379"/>
    <w:rsid w:val="009576E5"/>
    <w:rsid w:val="00960143"/>
    <w:rsid w:val="00960206"/>
    <w:rsid w:val="009610EF"/>
    <w:rsid w:val="00963151"/>
    <w:rsid w:val="009638E4"/>
    <w:rsid w:val="009662C0"/>
    <w:rsid w:val="00966590"/>
    <w:rsid w:val="00966E92"/>
    <w:rsid w:val="00966F7E"/>
    <w:rsid w:val="00966FAA"/>
    <w:rsid w:val="009678CB"/>
    <w:rsid w:val="00967DB2"/>
    <w:rsid w:val="00970FCC"/>
    <w:rsid w:val="00971574"/>
    <w:rsid w:val="00974036"/>
    <w:rsid w:val="009740CD"/>
    <w:rsid w:val="009743A7"/>
    <w:rsid w:val="0097464E"/>
    <w:rsid w:val="009746E6"/>
    <w:rsid w:val="0097518E"/>
    <w:rsid w:val="00976775"/>
    <w:rsid w:val="00980115"/>
    <w:rsid w:val="00981403"/>
    <w:rsid w:val="00981687"/>
    <w:rsid w:val="009818B9"/>
    <w:rsid w:val="00982737"/>
    <w:rsid w:val="00983F5B"/>
    <w:rsid w:val="0098501F"/>
    <w:rsid w:val="00985F97"/>
    <w:rsid w:val="00986348"/>
    <w:rsid w:val="009864E9"/>
    <w:rsid w:val="009871C9"/>
    <w:rsid w:val="009874AC"/>
    <w:rsid w:val="00987FE6"/>
    <w:rsid w:val="00990802"/>
    <w:rsid w:val="00990904"/>
    <w:rsid w:val="0099140F"/>
    <w:rsid w:val="00991EA7"/>
    <w:rsid w:val="00992F33"/>
    <w:rsid w:val="009949F6"/>
    <w:rsid w:val="00995B9D"/>
    <w:rsid w:val="00995DD9"/>
    <w:rsid w:val="00995EC9"/>
    <w:rsid w:val="00996542"/>
    <w:rsid w:val="00996BF6"/>
    <w:rsid w:val="00997369"/>
    <w:rsid w:val="009A16C9"/>
    <w:rsid w:val="009A24B6"/>
    <w:rsid w:val="009A305D"/>
    <w:rsid w:val="009A37AA"/>
    <w:rsid w:val="009A594E"/>
    <w:rsid w:val="009A5F9C"/>
    <w:rsid w:val="009A6CA9"/>
    <w:rsid w:val="009A6EF9"/>
    <w:rsid w:val="009A7F65"/>
    <w:rsid w:val="009B1344"/>
    <w:rsid w:val="009B18F2"/>
    <w:rsid w:val="009B1C45"/>
    <w:rsid w:val="009B2CC3"/>
    <w:rsid w:val="009B3251"/>
    <w:rsid w:val="009B3C05"/>
    <w:rsid w:val="009B46A3"/>
    <w:rsid w:val="009B5029"/>
    <w:rsid w:val="009B51A5"/>
    <w:rsid w:val="009B5647"/>
    <w:rsid w:val="009B5E1F"/>
    <w:rsid w:val="009B7777"/>
    <w:rsid w:val="009C01B3"/>
    <w:rsid w:val="009C19C4"/>
    <w:rsid w:val="009C2A88"/>
    <w:rsid w:val="009C39D6"/>
    <w:rsid w:val="009C478E"/>
    <w:rsid w:val="009C4CA4"/>
    <w:rsid w:val="009C5298"/>
    <w:rsid w:val="009C6093"/>
    <w:rsid w:val="009C671C"/>
    <w:rsid w:val="009C77DA"/>
    <w:rsid w:val="009D0543"/>
    <w:rsid w:val="009D1063"/>
    <w:rsid w:val="009D1C93"/>
    <w:rsid w:val="009D2189"/>
    <w:rsid w:val="009D2E20"/>
    <w:rsid w:val="009D32C8"/>
    <w:rsid w:val="009D3DA8"/>
    <w:rsid w:val="009D4172"/>
    <w:rsid w:val="009D45DD"/>
    <w:rsid w:val="009D4B3D"/>
    <w:rsid w:val="009D4FE9"/>
    <w:rsid w:val="009D55A9"/>
    <w:rsid w:val="009D66CC"/>
    <w:rsid w:val="009D6744"/>
    <w:rsid w:val="009D6ED7"/>
    <w:rsid w:val="009D747D"/>
    <w:rsid w:val="009E0603"/>
    <w:rsid w:val="009E0746"/>
    <w:rsid w:val="009E0D9C"/>
    <w:rsid w:val="009E1DAA"/>
    <w:rsid w:val="009E251D"/>
    <w:rsid w:val="009E34DE"/>
    <w:rsid w:val="009E448C"/>
    <w:rsid w:val="009E46D6"/>
    <w:rsid w:val="009E4C1A"/>
    <w:rsid w:val="009E51C3"/>
    <w:rsid w:val="009E5529"/>
    <w:rsid w:val="009E6196"/>
    <w:rsid w:val="009E6B01"/>
    <w:rsid w:val="009E7947"/>
    <w:rsid w:val="009E7C16"/>
    <w:rsid w:val="009E7ED6"/>
    <w:rsid w:val="009E7EDF"/>
    <w:rsid w:val="009F17A5"/>
    <w:rsid w:val="009F1B71"/>
    <w:rsid w:val="009F29A4"/>
    <w:rsid w:val="009F2F8D"/>
    <w:rsid w:val="009F2FF3"/>
    <w:rsid w:val="009F30B2"/>
    <w:rsid w:val="009F314F"/>
    <w:rsid w:val="00A00116"/>
    <w:rsid w:val="00A004BC"/>
    <w:rsid w:val="00A01864"/>
    <w:rsid w:val="00A01AC2"/>
    <w:rsid w:val="00A01BA9"/>
    <w:rsid w:val="00A01D67"/>
    <w:rsid w:val="00A03B46"/>
    <w:rsid w:val="00A03FA0"/>
    <w:rsid w:val="00A054F4"/>
    <w:rsid w:val="00A05583"/>
    <w:rsid w:val="00A06718"/>
    <w:rsid w:val="00A06AFA"/>
    <w:rsid w:val="00A076C3"/>
    <w:rsid w:val="00A10A47"/>
    <w:rsid w:val="00A11237"/>
    <w:rsid w:val="00A119B2"/>
    <w:rsid w:val="00A1272F"/>
    <w:rsid w:val="00A137FA"/>
    <w:rsid w:val="00A1409A"/>
    <w:rsid w:val="00A14BEC"/>
    <w:rsid w:val="00A1633D"/>
    <w:rsid w:val="00A16488"/>
    <w:rsid w:val="00A2052B"/>
    <w:rsid w:val="00A2106D"/>
    <w:rsid w:val="00A21598"/>
    <w:rsid w:val="00A21B15"/>
    <w:rsid w:val="00A235F4"/>
    <w:rsid w:val="00A23D6C"/>
    <w:rsid w:val="00A24C28"/>
    <w:rsid w:val="00A250C8"/>
    <w:rsid w:val="00A2534F"/>
    <w:rsid w:val="00A25E24"/>
    <w:rsid w:val="00A26664"/>
    <w:rsid w:val="00A26C0C"/>
    <w:rsid w:val="00A26DB0"/>
    <w:rsid w:val="00A273EF"/>
    <w:rsid w:val="00A2751F"/>
    <w:rsid w:val="00A276BE"/>
    <w:rsid w:val="00A306EE"/>
    <w:rsid w:val="00A315B9"/>
    <w:rsid w:val="00A31602"/>
    <w:rsid w:val="00A31B85"/>
    <w:rsid w:val="00A32599"/>
    <w:rsid w:val="00A32FA9"/>
    <w:rsid w:val="00A33F8C"/>
    <w:rsid w:val="00A3560B"/>
    <w:rsid w:val="00A377A2"/>
    <w:rsid w:val="00A37818"/>
    <w:rsid w:val="00A40BC6"/>
    <w:rsid w:val="00A429F1"/>
    <w:rsid w:val="00A42AE8"/>
    <w:rsid w:val="00A446D9"/>
    <w:rsid w:val="00A447D1"/>
    <w:rsid w:val="00A44859"/>
    <w:rsid w:val="00A44D8E"/>
    <w:rsid w:val="00A44E47"/>
    <w:rsid w:val="00A45322"/>
    <w:rsid w:val="00A455F8"/>
    <w:rsid w:val="00A4611B"/>
    <w:rsid w:val="00A464D2"/>
    <w:rsid w:val="00A4765C"/>
    <w:rsid w:val="00A506D1"/>
    <w:rsid w:val="00A51022"/>
    <w:rsid w:val="00A53863"/>
    <w:rsid w:val="00A54155"/>
    <w:rsid w:val="00A54A24"/>
    <w:rsid w:val="00A555A4"/>
    <w:rsid w:val="00A558D8"/>
    <w:rsid w:val="00A55A2D"/>
    <w:rsid w:val="00A55BAA"/>
    <w:rsid w:val="00A56FDC"/>
    <w:rsid w:val="00A6159B"/>
    <w:rsid w:val="00A61839"/>
    <w:rsid w:val="00A62256"/>
    <w:rsid w:val="00A63C71"/>
    <w:rsid w:val="00A65402"/>
    <w:rsid w:val="00A65C01"/>
    <w:rsid w:val="00A66026"/>
    <w:rsid w:val="00A6617B"/>
    <w:rsid w:val="00A67848"/>
    <w:rsid w:val="00A67993"/>
    <w:rsid w:val="00A72856"/>
    <w:rsid w:val="00A7349D"/>
    <w:rsid w:val="00A73A3B"/>
    <w:rsid w:val="00A755E5"/>
    <w:rsid w:val="00A76193"/>
    <w:rsid w:val="00A76A82"/>
    <w:rsid w:val="00A80137"/>
    <w:rsid w:val="00A80296"/>
    <w:rsid w:val="00A804A9"/>
    <w:rsid w:val="00A83B6C"/>
    <w:rsid w:val="00A83C02"/>
    <w:rsid w:val="00A845B8"/>
    <w:rsid w:val="00A84747"/>
    <w:rsid w:val="00A84D08"/>
    <w:rsid w:val="00A8590C"/>
    <w:rsid w:val="00A9036C"/>
    <w:rsid w:val="00A9400D"/>
    <w:rsid w:val="00A94F99"/>
    <w:rsid w:val="00A974E1"/>
    <w:rsid w:val="00AA018A"/>
    <w:rsid w:val="00AA02CE"/>
    <w:rsid w:val="00AA0F90"/>
    <w:rsid w:val="00AA122B"/>
    <w:rsid w:val="00AA1684"/>
    <w:rsid w:val="00AA17EF"/>
    <w:rsid w:val="00AA251E"/>
    <w:rsid w:val="00AA3565"/>
    <w:rsid w:val="00AA3767"/>
    <w:rsid w:val="00AA3942"/>
    <w:rsid w:val="00AA4B05"/>
    <w:rsid w:val="00AA4FFA"/>
    <w:rsid w:val="00AA659A"/>
    <w:rsid w:val="00AA7B3E"/>
    <w:rsid w:val="00AA7D69"/>
    <w:rsid w:val="00AB00F3"/>
    <w:rsid w:val="00AB1318"/>
    <w:rsid w:val="00AB1AAB"/>
    <w:rsid w:val="00AB1BA9"/>
    <w:rsid w:val="00AB1CFF"/>
    <w:rsid w:val="00AB2141"/>
    <w:rsid w:val="00AB403C"/>
    <w:rsid w:val="00AB62E7"/>
    <w:rsid w:val="00AB6C48"/>
    <w:rsid w:val="00AB6CF9"/>
    <w:rsid w:val="00AB732B"/>
    <w:rsid w:val="00AB7C4F"/>
    <w:rsid w:val="00AB7C6C"/>
    <w:rsid w:val="00AC0472"/>
    <w:rsid w:val="00AC0DB8"/>
    <w:rsid w:val="00AC2762"/>
    <w:rsid w:val="00AC35E6"/>
    <w:rsid w:val="00AC47DA"/>
    <w:rsid w:val="00AC48A5"/>
    <w:rsid w:val="00AC48FA"/>
    <w:rsid w:val="00AC5A78"/>
    <w:rsid w:val="00AC62EC"/>
    <w:rsid w:val="00AC71AF"/>
    <w:rsid w:val="00AC7A2A"/>
    <w:rsid w:val="00AD0746"/>
    <w:rsid w:val="00AD0B80"/>
    <w:rsid w:val="00AD2213"/>
    <w:rsid w:val="00AD25A8"/>
    <w:rsid w:val="00AD2E82"/>
    <w:rsid w:val="00AD37E8"/>
    <w:rsid w:val="00AD3C6A"/>
    <w:rsid w:val="00AD4192"/>
    <w:rsid w:val="00AD45F9"/>
    <w:rsid w:val="00AD4777"/>
    <w:rsid w:val="00AD5B9E"/>
    <w:rsid w:val="00AD6CF2"/>
    <w:rsid w:val="00AD7ABB"/>
    <w:rsid w:val="00AD7C0E"/>
    <w:rsid w:val="00AD7CD1"/>
    <w:rsid w:val="00AD7CFB"/>
    <w:rsid w:val="00AD7E76"/>
    <w:rsid w:val="00AE0C28"/>
    <w:rsid w:val="00AE0D39"/>
    <w:rsid w:val="00AE1AE6"/>
    <w:rsid w:val="00AE28B8"/>
    <w:rsid w:val="00AE2C36"/>
    <w:rsid w:val="00AE2EAF"/>
    <w:rsid w:val="00AE3D11"/>
    <w:rsid w:val="00AE4F08"/>
    <w:rsid w:val="00AE50E5"/>
    <w:rsid w:val="00AE5751"/>
    <w:rsid w:val="00AE66BC"/>
    <w:rsid w:val="00AE684C"/>
    <w:rsid w:val="00AE7042"/>
    <w:rsid w:val="00AE7098"/>
    <w:rsid w:val="00AE78AE"/>
    <w:rsid w:val="00AF2579"/>
    <w:rsid w:val="00AF3274"/>
    <w:rsid w:val="00AF4C09"/>
    <w:rsid w:val="00AF521E"/>
    <w:rsid w:val="00AF534D"/>
    <w:rsid w:val="00AF79CD"/>
    <w:rsid w:val="00AF7AEF"/>
    <w:rsid w:val="00B00A67"/>
    <w:rsid w:val="00B02717"/>
    <w:rsid w:val="00B034B1"/>
    <w:rsid w:val="00B041F7"/>
    <w:rsid w:val="00B046B8"/>
    <w:rsid w:val="00B05221"/>
    <w:rsid w:val="00B05F70"/>
    <w:rsid w:val="00B06185"/>
    <w:rsid w:val="00B07250"/>
    <w:rsid w:val="00B07CCD"/>
    <w:rsid w:val="00B07DA6"/>
    <w:rsid w:val="00B111B2"/>
    <w:rsid w:val="00B115AA"/>
    <w:rsid w:val="00B11774"/>
    <w:rsid w:val="00B132AC"/>
    <w:rsid w:val="00B1337F"/>
    <w:rsid w:val="00B15097"/>
    <w:rsid w:val="00B15CB9"/>
    <w:rsid w:val="00B17274"/>
    <w:rsid w:val="00B2168E"/>
    <w:rsid w:val="00B23B2C"/>
    <w:rsid w:val="00B2791E"/>
    <w:rsid w:val="00B3156B"/>
    <w:rsid w:val="00B3396A"/>
    <w:rsid w:val="00B342B8"/>
    <w:rsid w:val="00B34CA3"/>
    <w:rsid w:val="00B34F36"/>
    <w:rsid w:val="00B3548B"/>
    <w:rsid w:val="00B36618"/>
    <w:rsid w:val="00B36870"/>
    <w:rsid w:val="00B36DB5"/>
    <w:rsid w:val="00B40936"/>
    <w:rsid w:val="00B40DBB"/>
    <w:rsid w:val="00B41A36"/>
    <w:rsid w:val="00B43855"/>
    <w:rsid w:val="00B442E5"/>
    <w:rsid w:val="00B444D6"/>
    <w:rsid w:val="00B4545B"/>
    <w:rsid w:val="00B45A2E"/>
    <w:rsid w:val="00B45C3D"/>
    <w:rsid w:val="00B47778"/>
    <w:rsid w:val="00B47954"/>
    <w:rsid w:val="00B51502"/>
    <w:rsid w:val="00B521E7"/>
    <w:rsid w:val="00B5310C"/>
    <w:rsid w:val="00B533E6"/>
    <w:rsid w:val="00B54978"/>
    <w:rsid w:val="00B54ED3"/>
    <w:rsid w:val="00B55B44"/>
    <w:rsid w:val="00B56466"/>
    <w:rsid w:val="00B56D39"/>
    <w:rsid w:val="00B571D4"/>
    <w:rsid w:val="00B605D4"/>
    <w:rsid w:val="00B6089F"/>
    <w:rsid w:val="00B60AA9"/>
    <w:rsid w:val="00B60BCC"/>
    <w:rsid w:val="00B61903"/>
    <w:rsid w:val="00B62FF5"/>
    <w:rsid w:val="00B63EDA"/>
    <w:rsid w:val="00B64A6D"/>
    <w:rsid w:val="00B65395"/>
    <w:rsid w:val="00B66899"/>
    <w:rsid w:val="00B66A6C"/>
    <w:rsid w:val="00B66FD1"/>
    <w:rsid w:val="00B673A0"/>
    <w:rsid w:val="00B67B90"/>
    <w:rsid w:val="00B702EE"/>
    <w:rsid w:val="00B70ADE"/>
    <w:rsid w:val="00B71023"/>
    <w:rsid w:val="00B724E8"/>
    <w:rsid w:val="00B72A9B"/>
    <w:rsid w:val="00B758F6"/>
    <w:rsid w:val="00B75E40"/>
    <w:rsid w:val="00B766B9"/>
    <w:rsid w:val="00B772A3"/>
    <w:rsid w:val="00B77D67"/>
    <w:rsid w:val="00B8089F"/>
    <w:rsid w:val="00B80F84"/>
    <w:rsid w:val="00B80FB6"/>
    <w:rsid w:val="00B8183F"/>
    <w:rsid w:val="00B8288B"/>
    <w:rsid w:val="00B82BB2"/>
    <w:rsid w:val="00B82D21"/>
    <w:rsid w:val="00B82D5D"/>
    <w:rsid w:val="00B837AE"/>
    <w:rsid w:val="00B83CD6"/>
    <w:rsid w:val="00B84509"/>
    <w:rsid w:val="00B84E25"/>
    <w:rsid w:val="00B85055"/>
    <w:rsid w:val="00B85144"/>
    <w:rsid w:val="00B85A44"/>
    <w:rsid w:val="00B861FA"/>
    <w:rsid w:val="00B865EC"/>
    <w:rsid w:val="00B90241"/>
    <w:rsid w:val="00B91BEE"/>
    <w:rsid w:val="00B91D73"/>
    <w:rsid w:val="00B91F6C"/>
    <w:rsid w:val="00B92D3D"/>
    <w:rsid w:val="00B930CB"/>
    <w:rsid w:val="00B941FB"/>
    <w:rsid w:val="00B945FF"/>
    <w:rsid w:val="00B94F41"/>
    <w:rsid w:val="00B96E38"/>
    <w:rsid w:val="00B97587"/>
    <w:rsid w:val="00BA105B"/>
    <w:rsid w:val="00BA1305"/>
    <w:rsid w:val="00BA2DCF"/>
    <w:rsid w:val="00BA3B12"/>
    <w:rsid w:val="00BA3FCC"/>
    <w:rsid w:val="00BA4991"/>
    <w:rsid w:val="00BA4AAB"/>
    <w:rsid w:val="00BA60C1"/>
    <w:rsid w:val="00BA60FC"/>
    <w:rsid w:val="00BA62C5"/>
    <w:rsid w:val="00BA7F52"/>
    <w:rsid w:val="00BB037A"/>
    <w:rsid w:val="00BB0D49"/>
    <w:rsid w:val="00BB105D"/>
    <w:rsid w:val="00BB35D3"/>
    <w:rsid w:val="00BB4F57"/>
    <w:rsid w:val="00BB5649"/>
    <w:rsid w:val="00BB62E1"/>
    <w:rsid w:val="00BB6C6C"/>
    <w:rsid w:val="00BC0EF9"/>
    <w:rsid w:val="00BC124E"/>
    <w:rsid w:val="00BC179E"/>
    <w:rsid w:val="00BC1EC8"/>
    <w:rsid w:val="00BC30D4"/>
    <w:rsid w:val="00BC32DC"/>
    <w:rsid w:val="00BC46E9"/>
    <w:rsid w:val="00BC4C73"/>
    <w:rsid w:val="00BC4F80"/>
    <w:rsid w:val="00BC524B"/>
    <w:rsid w:val="00BC70A4"/>
    <w:rsid w:val="00BC73A8"/>
    <w:rsid w:val="00BD2211"/>
    <w:rsid w:val="00BD31FB"/>
    <w:rsid w:val="00BD37E4"/>
    <w:rsid w:val="00BD3D7B"/>
    <w:rsid w:val="00BD567D"/>
    <w:rsid w:val="00BD582E"/>
    <w:rsid w:val="00BD5BAD"/>
    <w:rsid w:val="00BD6180"/>
    <w:rsid w:val="00BD6735"/>
    <w:rsid w:val="00BD6967"/>
    <w:rsid w:val="00BD71A3"/>
    <w:rsid w:val="00BD7691"/>
    <w:rsid w:val="00BD76A9"/>
    <w:rsid w:val="00BD795E"/>
    <w:rsid w:val="00BD7D8A"/>
    <w:rsid w:val="00BE0AE2"/>
    <w:rsid w:val="00BE1D82"/>
    <w:rsid w:val="00BE2DC1"/>
    <w:rsid w:val="00BE2F25"/>
    <w:rsid w:val="00BE3714"/>
    <w:rsid w:val="00BE431B"/>
    <w:rsid w:val="00BE5522"/>
    <w:rsid w:val="00BE64B1"/>
    <w:rsid w:val="00BE6E75"/>
    <w:rsid w:val="00BF0142"/>
    <w:rsid w:val="00BF08CD"/>
    <w:rsid w:val="00BF0B70"/>
    <w:rsid w:val="00BF2037"/>
    <w:rsid w:val="00BF290A"/>
    <w:rsid w:val="00BF308C"/>
    <w:rsid w:val="00BF39EC"/>
    <w:rsid w:val="00BF3BF2"/>
    <w:rsid w:val="00BF5082"/>
    <w:rsid w:val="00BF72AB"/>
    <w:rsid w:val="00C0139A"/>
    <w:rsid w:val="00C01E09"/>
    <w:rsid w:val="00C023E2"/>
    <w:rsid w:val="00C025B1"/>
    <w:rsid w:val="00C02E01"/>
    <w:rsid w:val="00C0310E"/>
    <w:rsid w:val="00C0357A"/>
    <w:rsid w:val="00C0368B"/>
    <w:rsid w:val="00C0427D"/>
    <w:rsid w:val="00C04738"/>
    <w:rsid w:val="00C04C49"/>
    <w:rsid w:val="00C04E6C"/>
    <w:rsid w:val="00C055E9"/>
    <w:rsid w:val="00C05953"/>
    <w:rsid w:val="00C05F23"/>
    <w:rsid w:val="00C06D4E"/>
    <w:rsid w:val="00C0793F"/>
    <w:rsid w:val="00C1014D"/>
    <w:rsid w:val="00C108F8"/>
    <w:rsid w:val="00C12B62"/>
    <w:rsid w:val="00C12F78"/>
    <w:rsid w:val="00C134A8"/>
    <w:rsid w:val="00C139F7"/>
    <w:rsid w:val="00C13C11"/>
    <w:rsid w:val="00C152A0"/>
    <w:rsid w:val="00C15CB5"/>
    <w:rsid w:val="00C16196"/>
    <w:rsid w:val="00C1623E"/>
    <w:rsid w:val="00C16A47"/>
    <w:rsid w:val="00C17882"/>
    <w:rsid w:val="00C20B1E"/>
    <w:rsid w:val="00C21709"/>
    <w:rsid w:val="00C21810"/>
    <w:rsid w:val="00C22595"/>
    <w:rsid w:val="00C22800"/>
    <w:rsid w:val="00C246F6"/>
    <w:rsid w:val="00C24901"/>
    <w:rsid w:val="00C24BC5"/>
    <w:rsid w:val="00C24DCA"/>
    <w:rsid w:val="00C24E77"/>
    <w:rsid w:val="00C253EA"/>
    <w:rsid w:val="00C25AC3"/>
    <w:rsid w:val="00C25B6E"/>
    <w:rsid w:val="00C261F0"/>
    <w:rsid w:val="00C269A4"/>
    <w:rsid w:val="00C272B4"/>
    <w:rsid w:val="00C2758E"/>
    <w:rsid w:val="00C27919"/>
    <w:rsid w:val="00C30A20"/>
    <w:rsid w:val="00C30F5B"/>
    <w:rsid w:val="00C322EB"/>
    <w:rsid w:val="00C3367F"/>
    <w:rsid w:val="00C337CE"/>
    <w:rsid w:val="00C33B15"/>
    <w:rsid w:val="00C3419B"/>
    <w:rsid w:val="00C36520"/>
    <w:rsid w:val="00C36B53"/>
    <w:rsid w:val="00C37CFE"/>
    <w:rsid w:val="00C4008A"/>
    <w:rsid w:val="00C439CD"/>
    <w:rsid w:val="00C44250"/>
    <w:rsid w:val="00C443B3"/>
    <w:rsid w:val="00C4440F"/>
    <w:rsid w:val="00C453B4"/>
    <w:rsid w:val="00C466C1"/>
    <w:rsid w:val="00C466E1"/>
    <w:rsid w:val="00C474A2"/>
    <w:rsid w:val="00C47AE7"/>
    <w:rsid w:val="00C523C3"/>
    <w:rsid w:val="00C525ED"/>
    <w:rsid w:val="00C53A69"/>
    <w:rsid w:val="00C542A3"/>
    <w:rsid w:val="00C5455E"/>
    <w:rsid w:val="00C562D3"/>
    <w:rsid w:val="00C5643A"/>
    <w:rsid w:val="00C56533"/>
    <w:rsid w:val="00C61BF3"/>
    <w:rsid w:val="00C62F61"/>
    <w:rsid w:val="00C63951"/>
    <w:rsid w:val="00C63C8D"/>
    <w:rsid w:val="00C63E4B"/>
    <w:rsid w:val="00C6594B"/>
    <w:rsid w:val="00C65FD4"/>
    <w:rsid w:val="00C66B99"/>
    <w:rsid w:val="00C66F31"/>
    <w:rsid w:val="00C67F50"/>
    <w:rsid w:val="00C67F52"/>
    <w:rsid w:val="00C70115"/>
    <w:rsid w:val="00C70D5B"/>
    <w:rsid w:val="00C70EA8"/>
    <w:rsid w:val="00C7149F"/>
    <w:rsid w:val="00C7245B"/>
    <w:rsid w:val="00C734C3"/>
    <w:rsid w:val="00C73C04"/>
    <w:rsid w:val="00C751A0"/>
    <w:rsid w:val="00C752F8"/>
    <w:rsid w:val="00C8051C"/>
    <w:rsid w:val="00C80B45"/>
    <w:rsid w:val="00C81E56"/>
    <w:rsid w:val="00C839EA"/>
    <w:rsid w:val="00C85875"/>
    <w:rsid w:val="00C86109"/>
    <w:rsid w:val="00C874BE"/>
    <w:rsid w:val="00C902C7"/>
    <w:rsid w:val="00C90F9B"/>
    <w:rsid w:val="00C9156F"/>
    <w:rsid w:val="00C92260"/>
    <w:rsid w:val="00C9276F"/>
    <w:rsid w:val="00C930F1"/>
    <w:rsid w:val="00C93F54"/>
    <w:rsid w:val="00C94123"/>
    <w:rsid w:val="00C9740F"/>
    <w:rsid w:val="00C975FC"/>
    <w:rsid w:val="00C97717"/>
    <w:rsid w:val="00CA03FE"/>
    <w:rsid w:val="00CA12A8"/>
    <w:rsid w:val="00CA14B6"/>
    <w:rsid w:val="00CA2316"/>
    <w:rsid w:val="00CA2E41"/>
    <w:rsid w:val="00CA325C"/>
    <w:rsid w:val="00CA4C3F"/>
    <w:rsid w:val="00CA51FA"/>
    <w:rsid w:val="00CA569E"/>
    <w:rsid w:val="00CA635A"/>
    <w:rsid w:val="00CA7C7B"/>
    <w:rsid w:val="00CB04D9"/>
    <w:rsid w:val="00CB04FB"/>
    <w:rsid w:val="00CB0D63"/>
    <w:rsid w:val="00CB114A"/>
    <w:rsid w:val="00CB12E5"/>
    <w:rsid w:val="00CB1829"/>
    <w:rsid w:val="00CB1A68"/>
    <w:rsid w:val="00CB216A"/>
    <w:rsid w:val="00CB37C6"/>
    <w:rsid w:val="00CB4291"/>
    <w:rsid w:val="00CB45E9"/>
    <w:rsid w:val="00CB494B"/>
    <w:rsid w:val="00CB559C"/>
    <w:rsid w:val="00CC023F"/>
    <w:rsid w:val="00CC04D9"/>
    <w:rsid w:val="00CC1711"/>
    <w:rsid w:val="00CC1DA3"/>
    <w:rsid w:val="00CC2528"/>
    <w:rsid w:val="00CC2FA9"/>
    <w:rsid w:val="00CC3727"/>
    <w:rsid w:val="00CC457B"/>
    <w:rsid w:val="00CC4860"/>
    <w:rsid w:val="00CC5202"/>
    <w:rsid w:val="00CC6494"/>
    <w:rsid w:val="00CC6D01"/>
    <w:rsid w:val="00CC70C5"/>
    <w:rsid w:val="00CC7E08"/>
    <w:rsid w:val="00CD0AC5"/>
    <w:rsid w:val="00CD0D0E"/>
    <w:rsid w:val="00CD0E73"/>
    <w:rsid w:val="00CD11BB"/>
    <w:rsid w:val="00CD18E5"/>
    <w:rsid w:val="00CD1CD5"/>
    <w:rsid w:val="00CD2AA0"/>
    <w:rsid w:val="00CD3C17"/>
    <w:rsid w:val="00CD4CE8"/>
    <w:rsid w:val="00CD544C"/>
    <w:rsid w:val="00CD57B2"/>
    <w:rsid w:val="00CD5B47"/>
    <w:rsid w:val="00CD63E5"/>
    <w:rsid w:val="00CD6EDE"/>
    <w:rsid w:val="00CD768B"/>
    <w:rsid w:val="00CD7BD9"/>
    <w:rsid w:val="00CE0407"/>
    <w:rsid w:val="00CE04C9"/>
    <w:rsid w:val="00CE2F4D"/>
    <w:rsid w:val="00CE30D4"/>
    <w:rsid w:val="00CE4465"/>
    <w:rsid w:val="00CE4513"/>
    <w:rsid w:val="00CE5D51"/>
    <w:rsid w:val="00CE6763"/>
    <w:rsid w:val="00CE70A6"/>
    <w:rsid w:val="00CE7D61"/>
    <w:rsid w:val="00CF04EC"/>
    <w:rsid w:val="00CF0B75"/>
    <w:rsid w:val="00CF1DF0"/>
    <w:rsid w:val="00CF1E08"/>
    <w:rsid w:val="00CF2087"/>
    <w:rsid w:val="00CF26E8"/>
    <w:rsid w:val="00CF3092"/>
    <w:rsid w:val="00CF3DA0"/>
    <w:rsid w:val="00CF3EE2"/>
    <w:rsid w:val="00CF4C46"/>
    <w:rsid w:val="00CF5343"/>
    <w:rsid w:val="00CF56F7"/>
    <w:rsid w:val="00CF630A"/>
    <w:rsid w:val="00CF6774"/>
    <w:rsid w:val="00CF7187"/>
    <w:rsid w:val="00CF7414"/>
    <w:rsid w:val="00CF7EFF"/>
    <w:rsid w:val="00CF7F1E"/>
    <w:rsid w:val="00D0049B"/>
    <w:rsid w:val="00D00CD9"/>
    <w:rsid w:val="00D026EC"/>
    <w:rsid w:val="00D04EE2"/>
    <w:rsid w:val="00D05759"/>
    <w:rsid w:val="00D065CF"/>
    <w:rsid w:val="00D07477"/>
    <w:rsid w:val="00D1033B"/>
    <w:rsid w:val="00D105B7"/>
    <w:rsid w:val="00D10C50"/>
    <w:rsid w:val="00D121CF"/>
    <w:rsid w:val="00D12DB9"/>
    <w:rsid w:val="00D13200"/>
    <w:rsid w:val="00D13B79"/>
    <w:rsid w:val="00D13ED3"/>
    <w:rsid w:val="00D14A65"/>
    <w:rsid w:val="00D14F91"/>
    <w:rsid w:val="00D16CD5"/>
    <w:rsid w:val="00D200E8"/>
    <w:rsid w:val="00D21ECA"/>
    <w:rsid w:val="00D22305"/>
    <w:rsid w:val="00D238F1"/>
    <w:rsid w:val="00D23D8D"/>
    <w:rsid w:val="00D255B0"/>
    <w:rsid w:val="00D25618"/>
    <w:rsid w:val="00D277CC"/>
    <w:rsid w:val="00D3140F"/>
    <w:rsid w:val="00D31792"/>
    <w:rsid w:val="00D319FA"/>
    <w:rsid w:val="00D328C7"/>
    <w:rsid w:val="00D34891"/>
    <w:rsid w:val="00D34ED6"/>
    <w:rsid w:val="00D34FB8"/>
    <w:rsid w:val="00D362F1"/>
    <w:rsid w:val="00D36619"/>
    <w:rsid w:val="00D368D1"/>
    <w:rsid w:val="00D414F0"/>
    <w:rsid w:val="00D416F2"/>
    <w:rsid w:val="00D42382"/>
    <w:rsid w:val="00D42E3B"/>
    <w:rsid w:val="00D43971"/>
    <w:rsid w:val="00D43DE1"/>
    <w:rsid w:val="00D43F52"/>
    <w:rsid w:val="00D4435D"/>
    <w:rsid w:val="00D44E24"/>
    <w:rsid w:val="00D44F81"/>
    <w:rsid w:val="00D45097"/>
    <w:rsid w:val="00D4557B"/>
    <w:rsid w:val="00D4634F"/>
    <w:rsid w:val="00D46951"/>
    <w:rsid w:val="00D46DD6"/>
    <w:rsid w:val="00D47C90"/>
    <w:rsid w:val="00D5225E"/>
    <w:rsid w:val="00D52C18"/>
    <w:rsid w:val="00D52D65"/>
    <w:rsid w:val="00D52EB0"/>
    <w:rsid w:val="00D5398B"/>
    <w:rsid w:val="00D55624"/>
    <w:rsid w:val="00D55628"/>
    <w:rsid w:val="00D55DB9"/>
    <w:rsid w:val="00D56981"/>
    <w:rsid w:val="00D56EBA"/>
    <w:rsid w:val="00D56FCE"/>
    <w:rsid w:val="00D5702E"/>
    <w:rsid w:val="00D57AC0"/>
    <w:rsid w:val="00D60527"/>
    <w:rsid w:val="00D6052F"/>
    <w:rsid w:val="00D605C8"/>
    <w:rsid w:val="00D61401"/>
    <w:rsid w:val="00D619C1"/>
    <w:rsid w:val="00D62305"/>
    <w:rsid w:val="00D62D01"/>
    <w:rsid w:val="00D643C5"/>
    <w:rsid w:val="00D643F8"/>
    <w:rsid w:val="00D65CEA"/>
    <w:rsid w:val="00D67DDC"/>
    <w:rsid w:val="00D7028C"/>
    <w:rsid w:val="00D70759"/>
    <w:rsid w:val="00D71BAD"/>
    <w:rsid w:val="00D726B5"/>
    <w:rsid w:val="00D72862"/>
    <w:rsid w:val="00D73930"/>
    <w:rsid w:val="00D73B7F"/>
    <w:rsid w:val="00D75637"/>
    <w:rsid w:val="00D7726E"/>
    <w:rsid w:val="00D77679"/>
    <w:rsid w:val="00D77E74"/>
    <w:rsid w:val="00D80389"/>
    <w:rsid w:val="00D8052A"/>
    <w:rsid w:val="00D80D8A"/>
    <w:rsid w:val="00D8192F"/>
    <w:rsid w:val="00D823D5"/>
    <w:rsid w:val="00D82B37"/>
    <w:rsid w:val="00D82D76"/>
    <w:rsid w:val="00D82ECF"/>
    <w:rsid w:val="00D82FB7"/>
    <w:rsid w:val="00D83C26"/>
    <w:rsid w:val="00D842D5"/>
    <w:rsid w:val="00D84860"/>
    <w:rsid w:val="00D85E75"/>
    <w:rsid w:val="00D877CD"/>
    <w:rsid w:val="00D87BE2"/>
    <w:rsid w:val="00D90F6F"/>
    <w:rsid w:val="00D937E1"/>
    <w:rsid w:val="00D93994"/>
    <w:rsid w:val="00D93D31"/>
    <w:rsid w:val="00D95C68"/>
    <w:rsid w:val="00D963DA"/>
    <w:rsid w:val="00D96530"/>
    <w:rsid w:val="00D96AD5"/>
    <w:rsid w:val="00D96C55"/>
    <w:rsid w:val="00DA089B"/>
    <w:rsid w:val="00DA0CE0"/>
    <w:rsid w:val="00DA10E2"/>
    <w:rsid w:val="00DA1FB9"/>
    <w:rsid w:val="00DA268E"/>
    <w:rsid w:val="00DA26B3"/>
    <w:rsid w:val="00DA291C"/>
    <w:rsid w:val="00DA2F76"/>
    <w:rsid w:val="00DA31E6"/>
    <w:rsid w:val="00DA33F2"/>
    <w:rsid w:val="00DA38D2"/>
    <w:rsid w:val="00DA4AF3"/>
    <w:rsid w:val="00DA4E5E"/>
    <w:rsid w:val="00DA50CE"/>
    <w:rsid w:val="00DA5F6D"/>
    <w:rsid w:val="00DA651C"/>
    <w:rsid w:val="00DA65A7"/>
    <w:rsid w:val="00DA67B4"/>
    <w:rsid w:val="00DA7CE9"/>
    <w:rsid w:val="00DB00DE"/>
    <w:rsid w:val="00DB0131"/>
    <w:rsid w:val="00DB17AF"/>
    <w:rsid w:val="00DB1980"/>
    <w:rsid w:val="00DB1A86"/>
    <w:rsid w:val="00DB1D5F"/>
    <w:rsid w:val="00DB2505"/>
    <w:rsid w:val="00DB2F01"/>
    <w:rsid w:val="00DB379F"/>
    <w:rsid w:val="00DB41B2"/>
    <w:rsid w:val="00DB470A"/>
    <w:rsid w:val="00DB5497"/>
    <w:rsid w:val="00DB5D95"/>
    <w:rsid w:val="00DB6F67"/>
    <w:rsid w:val="00DB7363"/>
    <w:rsid w:val="00DB7B71"/>
    <w:rsid w:val="00DC03F9"/>
    <w:rsid w:val="00DC1FF5"/>
    <w:rsid w:val="00DC1FF7"/>
    <w:rsid w:val="00DC3F62"/>
    <w:rsid w:val="00DC4022"/>
    <w:rsid w:val="00DC43F4"/>
    <w:rsid w:val="00DC473A"/>
    <w:rsid w:val="00DC4BCF"/>
    <w:rsid w:val="00DC6A1D"/>
    <w:rsid w:val="00DC6A71"/>
    <w:rsid w:val="00DC73E0"/>
    <w:rsid w:val="00DC78D6"/>
    <w:rsid w:val="00DD2799"/>
    <w:rsid w:val="00DD2EE4"/>
    <w:rsid w:val="00DD35A7"/>
    <w:rsid w:val="00DD4383"/>
    <w:rsid w:val="00DD460A"/>
    <w:rsid w:val="00DD504D"/>
    <w:rsid w:val="00DD5982"/>
    <w:rsid w:val="00DD59C8"/>
    <w:rsid w:val="00DD60D6"/>
    <w:rsid w:val="00DD6E64"/>
    <w:rsid w:val="00DD6FAA"/>
    <w:rsid w:val="00DE1225"/>
    <w:rsid w:val="00DE1994"/>
    <w:rsid w:val="00DE377E"/>
    <w:rsid w:val="00DE3A90"/>
    <w:rsid w:val="00DE3EC8"/>
    <w:rsid w:val="00DE4181"/>
    <w:rsid w:val="00DE63B9"/>
    <w:rsid w:val="00DE6E57"/>
    <w:rsid w:val="00DE7BF4"/>
    <w:rsid w:val="00DE7DAB"/>
    <w:rsid w:val="00DF00A2"/>
    <w:rsid w:val="00DF0615"/>
    <w:rsid w:val="00DF0C09"/>
    <w:rsid w:val="00DF0DAB"/>
    <w:rsid w:val="00DF13ED"/>
    <w:rsid w:val="00DF1E65"/>
    <w:rsid w:val="00DF2604"/>
    <w:rsid w:val="00DF26E2"/>
    <w:rsid w:val="00DF3451"/>
    <w:rsid w:val="00DF3DF5"/>
    <w:rsid w:val="00DF4969"/>
    <w:rsid w:val="00DF52CC"/>
    <w:rsid w:val="00DF576A"/>
    <w:rsid w:val="00DF5C4E"/>
    <w:rsid w:val="00DF639B"/>
    <w:rsid w:val="00DF7924"/>
    <w:rsid w:val="00E018A1"/>
    <w:rsid w:val="00E01975"/>
    <w:rsid w:val="00E0257E"/>
    <w:rsid w:val="00E02588"/>
    <w:rsid w:val="00E025ED"/>
    <w:rsid w:val="00E03EC9"/>
    <w:rsid w:val="00E0408C"/>
    <w:rsid w:val="00E041AD"/>
    <w:rsid w:val="00E04B6E"/>
    <w:rsid w:val="00E04D8E"/>
    <w:rsid w:val="00E0559E"/>
    <w:rsid w:val="00E06C6A"/>
    <w:rsid w:val="00E07A3B"/>
    <w:rsid w:val="00E10443"/>
    <w:rsid w:val="00E13380"/>
    <w:rsid w:val="00E14A76"/>
    <w:rsid w:val="00E14D87"/>
    <w:rsid w:val="00E15111"/>
    <w:rsid w:val="00E16082"/>
    <w:rsid w:val="00E1609A"/>
    <w:rsid w:val="00E16F20"/>
    <w:rsid w:val="00E17443"/>
    <w:rsid w:val="00E17609"/>
    <w:rsid w:val="00E17B09"/>
    <w:rsid w:val="00E17B1F"/>
    <w:rsid w:val="00E223F6"/>
    <w:rsid w:val="00E23470"/>
    <w:rsid w:val="00E234AB"/>
    <w:rsid w:val="00E23DA4"/>
    <w:rsid w:val="00E2472C"/>
    <w:rsid w:val="00E2664A"/>
    <w:rsid w:val="00E270F9"/>
    <w:rsid w:val="00E306B0"/>
    <w:rsid w:val="00E31137"/>
    <w:rsid w:val="00E3161B"/>
    <w:rsid w:val="00E317ED"/>
    <w:rsid w:val="00E32C95"/>
    <w:rsid w:val="00E32F82"/>
    <w:rsid w:val="00E341EC"/>
    <w:rsid w:val="00E342CF"/>
    <w:rsid w:val="00E34604"/>
    <w:rsid w:val="00E3508D"/>
    <w:rsid w:val="00E37748"/>
    <w:rsid w:val="00E40320"/>
    <w:rsid w:val="00E404B1"/>
    <w:rsid w:val="00E42D40"/>
    <w:rsid w:val="00E43D2E"/>
    <w:rsid w:val="00E4426F"/>
    <w:rsid w:val="00E44EAF"/>
    <w:rsid w:val="00E45507"/>
    <w:rsid w:val="00E45DD6"/>
    <w:rsid w:val="00E46183"/>
    <w:rsid w:val="00E508F7"/>
    <w:rsid w:val="00E50BEA"/>
    <w:rsid w:val="00E50EB6"/>
    <w:rsid w:val="00E50FE0"/>
    <w:rsid w:val="00E50FF3"/>
    <w:rsid w:val="00E52FFF"/>
    <w:rsid w:val="00E53CF1"/>
    <w:rsid w:val="00E54A0B"/>
    <w:rsid w:val="00E55961"/>
    <w:rsid w:val="00E56383"/>
    <w:rsid w:val="00E56684"/>
    <w:rsid w:val="00E56E12"/>
    <w:rsid w:val="00E609C5"/>
    <w:rsid w:val="00E60DD7"/>
    <w:rsid w:val="00E61096"/>
    <w:rsid w:val="00E612C7"/>
    <w:rsid w:val="00E61C38"/>
    <w:rsid w:val="00E62669"/>
    <w:rsid w:val="00E62703"/>
    <w:rsid w:val="00E62905"/>
    <w:rsid w:val="00E62F12"/>
    <w:rsid w:val="00E634FE"/>
    <w:rsid w:val="00E636E7"/>
    <w:rsid w:val="00E63D67"/>
    <w:rsid w:val="00E6404A"/>
    <w:rsid w:val="00E655E8"/>
    <w:rsid w:val="00E66032"/>
    <w:rsid w:val="00E66640"/>
    <w:rsid w:val="00E66B08"/>
    <w:rsid w:val="00E66BA8"/>
    <w:rsid w:val="00E66FBB"/>
    <w:rsid w:val="00E67833"/>
    <w:rsid w:val="00E67B7A"/>
    <w:rsid w:val="00E711EA"/>
    <w:rsid w:val="00E7176A"/>
    <w:rsid w:val="00E71ABE"/>
    <w:rsid w:val="00E726E6"/>
    <w:rsid w:val="00E73305"/>
    <w:rsid w:val="00E73A4B"/>
    <w:rsid w:val="00E73A6D"/>
    <w:rsid w:val="00E73A81"/>
    <w:rsid w:val="00E73E93"/>
    <w:rsid w:val="00E74733"/>
    <w:rsid w:val="00E74A90"/>
    <w:rsid w:val="00E750C3"/>
    <w:rsid w:val="00E75259"/>
    <w:rsid w:val="00E754B1"/>
    <w:rsid w:val="00E755E0"/>
    <w:rsid w:val="00E75913"/>
    <w:rsid w:val="00E75E31"/>
    <w:rsid w:val="00E76CC8"/>
    <w:rsid w:val="00E776B5"/>
    <w:rsid w:val="00E80AC1"/>
    <w:rsid w:val="00E81221"/>
    <w:rsid w:val="00E8229A"/>
    <w:rsid w:val="00E82755"/>
    <w:rsid w:val="00E82BD3"/>
    <w:rsid w:val="00E843F8"/>
    <w:rsid w:val="00E85491"/>
    <w:rsid w:val="00E854C7"/>
    <w:rsid w:val="00E854D4"/>
    <w:rsid w:val="00E85CF1"/>
    <w:rsid w:val="00E8663C"/>
    <w:rsid w:val="00E8671A"/>
    <w:rsid w:val="00E916F4"/>
    <w:rsid w:val="00E91761"/>
    <w:rsid w:val="00E91AAC"/>
    <w:rsid w:val="00E92A5B"/>
    <w:rsid w:val="00E93A4C"/>
    <w:rsid w:val="00E945BD"/>
    <w:rsid w:val="00E963DB"/>
    <w:rsid w:val="00E9748F"/>
    <w:rsid w:val="00E977C9"/>
    <w:rsid w:val="00EA0576"/>
    <w:rsid w:val="00EA1376"/>
    <w:rsid w:val="00EA187D"/>
    <w:rsid w:val="00EA3D5F"/>
    <w:rsid w:val="00EA44A7"/>
    <w:rsid w:val="00EA4685"/>
    <w:rsid w:val="00EA4BCC"/>
    <w:rsid w:val="00EA51AD"/>
    <w:rsid w:val="00EA571C"/>
    <w:rsid w:val="00EA5CD1"/>
    <w:rsid w:val="00EA5D9A"/>
    <w:rsid w:val="00EA696C"/>
    <w:rsid w:val="00EA7826"/>
    <w:rsid w:val="00EA7CA0"/>
    <w:rsid w:val="00EB0406"/>
    <w:rsid w:val="00EB0DA5"/>
    <w:rsid w:val="00EB19EF"/>
    <w:rsid w:val="00EB26E4"/>
    <w:rsid w:val="00EB34F4"/>
    <w:rsid w:val="00EB3D25"/>
    <w:rsid w:val="00EB3F34"/>
    <w:rsid w:val="00EB4E18"/>
    <w:rsid w:val="00EB4F44"/>
    <w:rsid w:val="00EB4FCF"/>
    <w:rsid w:val="00EB6FCD"/>
    <w:rsid w:val="00EB7635"/>
    <w:rsid w:val="00EB7B7E"/>
    <w:rsid w:val="00EC1E67"/>
    <w:rsid w:val="00EC2F89"/>
    <w:rsid w:val="00EC3793"/>
    <w:rsid w:val="00EC4300"/>
    <w:rsid w:val="00EC5BC7"/>
    <w:rsid w:val="00EC67FB"/>
    <w:rsid w:val="00EC6858"/>
    <w:rsid w:val="00EC6A6B"/>
    <w:rsid w:val="00EC6BF4"/>
    <w:rsid w:val="00EC7CCA"/>
    <w:rsid w:val="00EC7F07"/>
    <w:rsid w:val="00ED0A90"/>
    <w:rsid w:val="00ED1B3F"/>
    <w:rsid w:val="00ED266B"/>
    <w:rsid w:val="00ED3317"/>
    <w:rsid w:val="00ED53D5"/>
    <w:rsid w:val="00ED577A"/>
    <w:rsid w:val="00ED654C"/>
    <w:rsid w:val="00ED673E"/>
    <w:rsid w:val="00ED6C2D"/>
    <w:rsid w:val="00ED7509"/>
    <w:rsid w:val="00ED7B8E"/>
    <w:rsid w:val="00ED7C83"/>
    <w:rsid w:val="00EE00B9"/>
    <w:rsid w:val="00EE08A6"/>
    <w:rsid w:val="00EE24A0"/>
    <w:rsid w:val="00EE2AA0"/>
    <w:rsid w:val="00EE4018"/>
    <w:rsid w:val="00EE46B9"/>
    <w:rsid w:val="00EE4AD9"/>
    <w:rsid w:val="00EE51FA"/>
    <w:rsid w:val="00EE53A7"/>
    <w:rsid w:val="00EE5A2E"/>
    <w:rsid w:val="00EE6919"/>
    <w:rsid w:val="00EE70BB"/>
    <w:rsid w:val="00EE78F1"/>
    <w:rsid w:val="00EF0039"/>
    <w:rsid w:val="00EF0133"/>
    <w:rsid w:val="00EF09DA"/>
    <w:rsid w:val="00EF0C53"/>
    <w:rsid w:val="00EF2BC1"/>
    <w:rsid w:val="00EF2C68"/>
    <w:rsid w:val="00EF3FBA"/>
    <w:rsid w:val="00EF45E3"/>
    <w:rsid w:val="00EF473D"/>
    <w:rsid w:val="00EF524E"/>
    <w:rsid w:val="00EF603C"/>
    <w:rsid w:val="00EF6F14"/>
    <w:rsid w:val="00EF7224"/>
    <w:rsid w:val="00EF7B89"/>
    <w:rsid w:val="00F00F1E"/>
    <w:rsid w:val="00F01125"/>
    <w:rsid w:val="00F01755"/>
    <w:rsid w:val="00F0268C"/>
    <w:rsid w:val="00F03989"/>
    <w:rsid w:val="00F07510"/>
    <w:rsid w:val="00F078FD"/>
    <w:rsid w:val="00F07D96"/>
    <w:rsid w:val="00F103F8"/>
    <w:rsid w:val="00F10654"/>
    <w:rsid w:val="00F10CED"/>
    <w:rsid w:val="00F1149E"/>
    <w:rsid w:val="00F12771"/>
    <w:rsid w:val="00F13464"/>
    <w:rsid w:val="00F13C10"/>
    <w:rsid w:val="00F1529C"/>
    <w:rsid w:val="00F1579F"/>
    <w:rsid w:val="00F1596D"/>
    <w:rsid w:val="00F15A66"/>
    <w:rsid w:val="00F21F48"/>
    <w:rsid w:val="00F2267D"/>
    <w:rsid w:val="00F22835"/>
    <w:rsid w:val="00F23273"/>
    <w:rsid w:val="00F233F2"/>
    <w:rsid w:val="00F23435"/>
    <w:rsid w:val="00F236F6"/>
    <w:rsid w:val="00F23D02"/>
    <w:rsid w:val="00F24834"/>
    <w:rsid w:val="00F2496F"/>
    <w:rsid w:val="00F25B5B"/>
    <w:rsid w:val="00F26204"/>
    <w:rsid w:val="00F26771"/>
    <w:rsid w:val="00F3060A"/>
    <w:rsid w:val="00F30D67"/>
    <w:rsid w:val="00F30F86"/>
    <w:rsid w:val="00F31D31"/>
    <w:rsid w:val="00F3228D"/>
    <w:rsid w:val="00F32558"/>
    <w:rsid w:val="00F33D8F"/>
    <w:rsid w:val="00F34196"/>
    <w:rsid w:val="00F34493"/>
    <w:rsid w:val="00F3490C"/>
    <w:rsid w:val="00F35B11"/>
    <w:rsid w:val="00F35C64"/>
    <w:rsid w:val="00F36214"/>
    <w:rsid w:val="00F365A4"/>
    <w:rsid w:val="00F36E16"/>
    <w:rsid w:val="00F37313"/>
    <w:rsid w:val="00F4169E"/>
    <w:rsid w:val="00F41A39"/>
    <w:rsid w:val="00F41B15"/>
    <w:rsid w:val="00F42824"/>
    <w:rsid w:val="00F42ED7"/>
    <w:rsid w:val="00F437C7"/>
    <w:rsid w:val="00F43B22"/>
    <w:rsid w:val="00F4425E"/>
    <w:rsid w:val="00F45DB8"/>
    <w:rsid w:val="00F464C7"/>
    <w:rsid w:val="00F47724"/>
    <w:rsid w:val="00F47CEC"/>
    <w:rsid w:val="00F523E4"/>
    <w:rsid w:val="00F55B5D"/>
    <w:rsid w:val="00F56C72"/>
    <w:rsid w:val="00F57579"/>
    <w:rsid w:val="00F601B4"/>
    <w:rsid w:val="00F607CD"/>
    <w:rsid w:val="00F618D8"/>
    <w:rsid w:val="00F62188"/>
    <w:rsid w:val="00F62F6F"/>
    <w:rsid w:val="00F63494"/>
    <w:rsid w:val="00F63C2B"/>
    <w:rsid w:val="00F651DA"/>
    <w:rsid w:val="00F655FC"/>
    <w:rsid w:val="00F656F2"/>
    <w:rsid w:val="00F6607A"/>
    <w:rsid w:val="00F6699D"/>
    <w:rsid w:val="00F66AE8"/>
    <w:rsid w:val="00F66DB5"/>
    <w:rsid w:val="00F66E92"/>
    <w:rsid w:val="00F676BA"/>
    <w:rsid w:val="00F67C58"/>
    <w:rsid w:val="00F70542"/>
    <w:rsid w:val="00F7211F"/>
    <w:rsid w:val="00F74EB9"/>
    <w:rsid w:val="00F75146"/>
    <w:rsid w:val="00F757F8"/>
    <w:rsid w:val="00F75CAF"/>
    <w:rsid w:val="00F75E8B"/>
    <w:rsid w:val="00F75F84"/>
    <w:rsid w:val="00F76035"/>
    <w:rsid w:val="00F77427"/>
    <w:rsid w:val="00F8031A"/>
    <w:rsid w:val="00F804F3"/>
    <w:rsid w:val="00F8051D"/>
    <w:rsid w:val="00F81BB1"/>
    <w:rsid w:val="00F820C9"/>
    <w:rsid w:val="00F82205"/>
    <w:rsid w:val="00F838E2"/>
    <w:rsid w:val="00F83D3D"/>
    <w:rsid w:val="00F84CAA"/>
    <w:rsid w:val="00F84EA4"/>
    <w:rsid w:val="00F85901"/>
    <w:rsid w:val="00F85BC1"/>
    <w:rsid w:val="00F8646C"/>
    <w:rsid w:val="00F86656"/>
    <w:rsid w:val="00F86757"/>
    <w:rsid w:val="00F8756C"/>
    <w:rsid w:val="00F91523"/>
    <w:rsid w:val="00F926ED"/>
    <w:rsid w:val="00F92E2D"/>
    <w:rsid w:val="00F94914"/>
    <w:rsid w:val="00F94FEB"/>
    <w:rsid w:val="00F9549B"/>
    <w:rsid w:val="00F95899"/>
    <w:rsid w:val="00F9603C"/>
    <w:rsid w:val="00F9627E"/>
    <w:rsid w:val="00F9778A"/>
    <w:rsid w:val="00F97D41"/>
    <w:rsid w:val="00FA0106"/>
    <w:rsid w:val="00FA0178"/>
    <w:rsid w:val="00FA107D"/>
    <w:rsid w:val="00FA1091"/>
    <w:rsid w:val="00FA1771"/>
    <w:rsid w:val="00FA1D7C"/>
    <w:rsid w:val="00FA1F86"/>
    <w:rsid w:val="00FA2257"/>
    <w:rsid w:val="00FA2761"/>
    <w:rsid w:val="00FA3836"/>
    <w:rsid w:val="00FA4A6F"/>
    <w:rsid w:val="00FA4C0E"/>
    <w:rsid w:val="00FA53DE"/>
    <w:rsid w:val="00FB021C"/>
    <w:rsid w:val="00FB031A"/>
    <w:rsid w:val="00FB0DD7"/>
    <w:rsid w:val="00FB12EB"/>
    <w:rsid w:val="00FB17E1"/>
    <w:rsid w:val="00FB1B18"/>
    <w:rsid w:val="00FB2870"/>
    <w:rsid w:val="00FB2A8C"/>
    <w:rsid w:val="00FB2B6A"/>
    <w:rsid w:val="00FB2E3A"/>
    <w:rsid w:val="00FB3016"/>
    <w:rsid w:val="00FB30EF"/>
    <w:rsid w:val="00FB60DE"/>
    <w:rsid w:val="00FC292D"/>
    <w:rsid w:val="00FC314B"/>
    <w:rsid w:val="00FC3B28"/>
    <w:rsid w:val="00FC3EC8"/>
    <w:rsid w:val="00FC464F"/>
    <w:rsid w:val="00FC5B92"/>
    <w:rsid w:val="00FC63B6"/>
    <w:rsid w:val="00FC6EDE"/>
    <w:rsid w:val="00FC72F3"/>
    <w:rsid w:val="00FD07FE"/>
    <w:rsid w:val="00FD16A3"/>
    <w:rsid w:val="00FD3051"/>
    <w:rsid w:val="00FD45A1"/>
    <w:rsid w:val="00FD518D"/>
    <w:rsid w:val="00FD6E14"/>
    <w:rsid w:val="00FD7AAF"/>
    <w:rsid w:val="00FD7C9E"/>
    <w:rsid w:val="00FE02F3"/>
    <w:rsid w:val="00FE0651"/>
    <w:rsid w:val="00FE0C07"/>
    <w:rsid w:val="00FE35CC"/>
    <w:rsid w:val="00FE3860"/>
    <w:rsid w:val="00FE6C89"/>
    <w:rsid w:val="00FE743A"/>
    <w:rsid w:val="00FE78D6"/>
    <w:rsid w:val="00FE7EB5"/>
    <w:rsid w:val="00FF279C"/>
    <w:rsid w:val="00FF2C8F"/>
    <w:rsid w:val="00FF2E1C"/>
    <w:rsid w:val="00FF3017"/>
    <w:rsid w:val="00FF3156"/>
    <w:rsid w:val="00FF592C"/>
    <w:rsid w:val="00FF5F9F"/>
    <w:rsid w:val="00FF6845"/>
    <w:rsid w:val="00FF7898"/>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6CF32C"/>
  <w15:chartTrackingRefBased/>
  <w15:docId w15:val="{B7FDA1F9-94AC-C041-B9AD-6D0275EC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119"/>
    <w:pPr>
      <w:keepNext/>
      <w:keepLines/>
      <w:spacing w:before="240"/>
      <w:outlineLvl w:val="0"/>
    </w:pPr>
    <w:rPr>
      <w:rFonts w:asciiTheme="majorHAnsi" w:eastAsiaTheme="majorEastAsia" w:hAnsiTheme="majorHAnsi" w:cstheme="majorBidi"/>
      <w:color w:val="007B88" w:themeColor="accent1" w:themeShade="BF"/>
      <w:sz w:val="32"/>
      <w:szCs w:val="32"/>
    </w:rPr>
  </w:style>
  <w:style w:type="paragraph" w:styleId="Heading2">
    <w:name w:val="heading 2"/>
    <w:basedOn w:val="Normal"/>
    <w:next w:val="Normal"/>
    <w:link w:val="Heading2Char"/>
    <w:uiPriority w:val="9"/>
    <w:unhideWhenUsed/>
    <w:qFormat/>
    <w:rsid w:val="00C56533"/>
    <w:pPr>
      <w:keepNext/>
      <w:keepLines/>
      <w:numPr>
        <w:numId w:val="9"/>
      </w:numPr>
      <w:spacing w:before="40" w:after="120"/>
      <w:outlineLvl w:val="1"/>
    </w:pPr>
    <w:rPr>
      <w:rFonts w:asciiTheme="majorHAnsi" w:eastAsiaTheme="majorEastAsia" w:hAnsiTheme="majorHAnsi" w:cstheme="majorBidi"/>
      <w:color w:val="007B88"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List Paragraph2,Main numbered paragraph,Numbered List Paragraph,L,CV text,Table text,F5 List Paragraph,Dot pt,Bulleted List Paragraph,Bullets,List Paragraph111,Medium Grid 1 - Accent 21,列出段落"/>
    <w:basedOn w:val="Normal"/>
    <w:link w:val="ListParagraphChar"/>
    <w:uiPriority w:val="34"/>
    <w:qFormat/>
    <w:rsid w:val="006774D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774D1"/>
  </w:style>
  <w:style w:type="table" w:styleId="TableGrid">
    <w:name w:val="Table Grid"/>
    <w:basedOn w:val="TableNormal"/>
    <w:uiPriority w:val="39"/>
    <w:rsid w:val="0076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27EF9"/>
  </w:style>
  <w:style w:type="character" w:customStyle="1" w:styleId="FootnoteTextChar">
    <w:name w:val="Footnote Text Char"/>
    <w:basedOn w:val="DefaultParagraphFont"/>
    <w:link w:val="FootnoteText"/>
    <w:uiPriority w:val="99"/>
    <w:rsid w:val="00827EF9"/>
  </w:style>
  <w:style w:type="character" w:styleId="FootnoteReference">
    <w:name w:val="footnote reference"/>
    <w:basedOn w:val="DefaultParagraphFont"/>
    <w:uiPriority w:val="99"/>
    <w:unhideWhenUsed/>
    <w:rsid w:val="00827EF9"/>
    <w:rPr>
      <w:vertAlign w:val="superscript"/>
    </w:rPr>
  </w:style>
  <w:style w:type="character" w:styleId="Hyperlink">
    <w:name w:val="Hyperlink"/>
    <w:basedOn w:val="DefaultParagraphFont"/>
    <w:uiPriority w:val="99"/>
    <w:unhideWhenUsed/>
    <w:rsid w:val="00827EF9"/>
    <w:rPr>
      <w:color w:val="00A6B6" w:themeColor="hyperlink"/>
      <w:u w:val="single"/>
    </w:rPr>
  </w:style>
  <w:style w:type="paragraph" w:customStyle="1" w:styleId="Default">
    <w:name w:val="Default"/>
    <w:rsid w:val="00A9036C"/>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9D747D"/>
    <w:rPr>
      <w:color w:val="05458F" w:themeColor="followedHyperlink"/>
      <w:u w:val="single"/>
    </w:rPr>
  </w:style>
  <w:style w:type="character" w:styleId="CommentReference">
    <w:name w:val="annotation reference"/>
    <w:basedOn w:val="DefaultParagraphFont"/>
    <w:uiPriority w:val="99"/>
    <w:semiHidden/>
    <w:unhideWhenUsed/>
    <w:rsid w:val="00780702"/>
    <w:rPr>
      <w:sz w:val="16"/>
      <w:szCs w:val="16"/>
    </w:rPr>
  </w:style>
  <w:style w:type="paragraph" w:styleId="CommentText">
    <w:name w:val="annotation text"/>
    <w:basedOn w:val="Normal"/>
    <w:link w:val="CommentTextChar"/>
    <w:uiPriority w:val="99"/>
    <w:unhideWhenUsed/>
    <w:rsid w:val="00780702"/>
    <w:rPr>
      <w:sz w:val="20"/>
      <w:szCs w:val="20"/>
    </w:rPr>
  </w:style>
  <w:style w:type="character" w:customStyle="1" w:styleId="CommentTextChar">
    <w:name w:val="Comment Text Char"/>
    <w:basedOn w:val="DefaultParagraphFont"/>
    <w:link w:val="CommentText"/>
    <w:uiPriority w:val="99"/>
    <w:rsid w:val="00780702"/>
    <w:rPr>
      <w:sz w:val="20"/>
      <w:szCs w:val="20"/>
    </w:rPr>
  </w:style>
  <w:style w:type="paragraph" w:styleId="CommentSubject">
    <w:name w:val="annotation subject"/>
    <w:basedOn w:val="CommentText"/>
    <w:next w:val="CommentText"/>
    <w:link w:val="CommentSubjectChar"/>
    <w:uiPriority w:val="99"/>
    <w:semiHidden/>
    <w:unhideWhenUsed/>
    <w:rsid w:val="00780702"/>
    <w:rPr>
      <w:b/>
      <w:bCs/>
    </w:rPr>
  </w:style>
  <w:style w:type="character" w:customStyle="1" w:styleId="CommentSubjectChar">
    <w:name w:val="Comment Subject Char"/>
    <w:basedOn w:val="CommentTextChar"/>
    <w:link w:val="CommentSubject"/>
    <w:uiPriority w:val="99"/>
    <w:semiHidden/>
    <w:rsid w:val="00780702"/>
    <w:rPr>
      <w:b/>
      <w:bCs/>
      <w:sz w:val="20"/>
      <w:szCs w:val="20"/>
    </w:rPr>
  </w:style>
  <w:style w:type="paragraph" w:styleId="BalloonText">
    <w:name w:val="Balloon Text"/>
    <w:basedOn w:val="Normal"/>
    <w:link w:val="BalloonTextChar"/>
    <w:uiPriority w:val="99"/>
    <w:semiHidden/>
    <w:unhideWhenUsed/>
    <w:rsid w:val="007807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0702"/>
    <w:rPr>
      <w:rFonts w:ascii="Times New Roman" w:hAnsi="Times New Roman" w:cs="Times New Roman"/>
      <w:sz w:val="18"/>
      <w:szCs w:val="18"/>
    </w:rPr>
  </w:style>
  <w:style w:type="character" w:customStyle="1" w:styleId="ListParagraphChar">
    <w:name w:val="List Paragraph Char"/>
    <w:aliases w:val="List Paragraph1 Char,List Paragraph11 Char,Recommendation Char,List Paragraph2 Char,Main numbered paragraph Char,Numbered List Paragraph Char,L Char,CV text Char,Table text Char,F5 List Paragraph Char,Dot pt Char,Bullets Char"/>
    <w:link w:val="ListParagraph"/>
    <w:uiPriority w:val="34"/>
    <w:qFormat/>
    <w:locked/>
    <w:rsid w:val="00FB3016"/>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19703A"/>
    <w:rPr>
      <w:color w:val="605E5C"/>
      <w:shd w:val="clear" w:color="auto" w:fill="E1DFDD"/>
    </w:rPr>
  </w:style>
  <w:style w:type="character" w:customStyle="1" w:styleId="Heading1Char">
    <w:name w:val="Heading 1 Char"/>
    <w:basedOn w:val="DefaultParagraphFont"/>
    <w:link w:val="Heading1"/>
    <w:uiPriority w:val="9"/>
    <w:rsid w:val="00051119"/>
    <w:rPr>
      <w:rFonts w:asciiTheme="majorHAnsi" w:eastAsiaTheme="majorEastAsia" w:hAnsiTheme="majorHAnsi" w:cstheme="majorBidi"/>
      <w:color w:val="007B88" w:themeColor="accent1" w:themeShade="BF"/>
      <w:sz w:val="32"/>
      <w:szCs w:val="32"/>
    </w:rPr>
  </w:style>
  <w:style w:type="character" w:customStyle="1" w:styleId="Heading2Char">
    <w:name w:val="Heading 2 Char"/>
    <w:basedOn w:val="DefaultParagraphFont"/>
    <w:link w:val="Heading2"/>
    <w:uiPriority w:val="9"/>
    <w:rsid w:val="00C56533"/>
    <w:rPr>
      <w:rFonts w:asciiTheme="majorHAnsi" w:eastAsiaTheme="majorEastAsia" w:hAnsiTheme="majorHAnsi" w:cstheme="majorBidi"/>
      <w:color w:val="007B88" w:themeColor="accent1" w:themeShade="BF"/>
      <w:sz w:val="26"/>
      <w:szCs w:val="26"/>
      <w:lang w:val="en-AU"/>
    </w:rPr>
  </w:style>
  <w:style w:type="paragraph" w:styleId="Quote">
    <w:name w:val="Quote"/>
    <w:basedOn w:val="Normal"/>
    <w:next w:val="Normal"/>
    <w:link w:val="QuoteChar"/>
    <w:uiPriority w:val="29"/>
    <w:qFormat/>
    <w:rsid w:val="00E018A1"/>
    <w:pPr>
      <w:spacing w:before="200" w:after="160"/>
      <w:ind w:left="864" w:right="864"/>
      <w:jc w:val="center"/>
    </w:pPr>
    <w:rPr>
      <w:i/>
      <w:iCs/>
      <w:color w:val="636567" w:themeColor="text1" w:themeTint="BF"/>
    </w:rPr>
  </w:style>
  <w:style w:type="character" w:customStyle="1" w:styleId="QuoteChar">
    <w:name w:val="Quote Char"/>
    <w:basedOn w:val="DefaultParagraphFont"/>
    <w:link w:val="Quote"/>
    <w:uiPriority w:val="29"/>
    <w:rsid w:val="00E018A1"/>
    <w:rPr>
      <w:i/>
      <w:iCs/>
      <w:color w:val="636567" w:themeColor="text1" w:themeTint="BF"/>
    </w:rPr>
  </w:style>
  <w:style w:type="paragraph" w:styleId="IntenseQuote">
    <w:name w:val="Intense Quote"/>
    <w:basedOn w:val="Normal"/>
    <w:next w:val="Normal"/>
    <w:link w:val="IntenseQuoteChar"/>
    <w:uiPriority w:val="30"/>
    <w:qFormat/>
    <w:rsid w:val="00650BD7"/>
    <w:pPr>
      <w:pBdr>
        <w:top w:val="single" w:sz="4" w:space="10" w:color="00A6B6" w:themeColor="accent1"/>
        <w:bottom w:val="single" w:sz="4" w:space="10" w:color="00A6B6" w:themeColor="accent1"/>
      </w:pBdr>
      <w:spacing w:before="360" w:after="360"/>
      <w:ind w:left="864" w:right="864"/>
      <w:jc w:val="center"/>
    </w:pPr>
    <w:rPr>
      <w:i/>
      <w:iCs/>
      <w:color w:val="00A6B6" w:themeColor="accent1"/>
    </w:rPr>
  </w:style>
  <w:style w:type="character" w:customStyle="1" w:styleId="IntenseQuoteChar">
    <w:name w:val="Intense Quote Char"/>
    <w:basedOn w:val="DefaultParagraphFont"/>
    <w:link w:val="IntenseQuote"/>
    <w:uiPriority w:val="30"/>
    <w:rsid w:val="00650BD7"/>
    <w:rPr>
      <w:i/>
      <w:iCs/>
      <w:color w:val="00A6B6" w:themeColor="accent1"/>
    </w:rPr>
  </w:style>
  <w:style w:type="table" w:styleId="GridTable4-Accent1">
    <w:name w:val="Grid Table 4 Accent 1"/>
    <w:basedOn w:val="TableNormal"/>
    <w:uiPriority w:val="49"/>
    <w:rsid w:val="00F26771"/>
    <w:tblPr>
      <w:tblStyleRowBandSize w:val="1"/>
      <w:tblStyleColBandSize w:val="1"/>
      <w:tblBorders>
        <w:top w:val="single" w:sz="4" w:space="0" w:color="3AEDFF" w:themeColor="accent1" w:themeTint="99"/>
        <w:left w:val="single" w:sz="4" w:space="0" w:color="3AEDFF" w:themeColor="accent1" w:themeTint="99"/>
        <w:bottom w:val="single" w:sz="4" w:space="0" w:color="3AEDFF" w:themeColor="accent1" w:themeTint="99"/>
        <w:right w:val="single" w:sz="4" w:space="0" w:color="3AEDFF" w:themeColor="accent1" w:themeTint="99"/>
        <w:insideH w:val="single" w:sz="4" w:space="0" w:color="3AEDFF" w:themeColor="accent1" w:themeTint="99"/>
        <w:insideV w:val="single" w:sz="4" w:space="0" w:color="3AEDFF" w:themeColor="accent1" w:themeTint="99"/>
      </w:tblBorders>
    </w:tblPr>
    <w:tblStylePr w:type="firstRow">
      <w:rPr>
        <w:b/>
        <w:bCs/>
        <w:color w:val="FFFFFF" w:themeColor="background1"/>
      </w:rPr>
      <w:tblPr/>
      <w:tcPr>
        <w:tcBorders>
          <w:top w:val="single" w:sz="4" w:space="0" w:color="00A6B6" w:themeColor="accent1"/>
          <w:left w:val="single" w:sz="4" w:space="0" w:color="00A6B6" w:themeColor="accent1"/>
          <w:bottom w:val="single" w:sz="4" w:space="0" w:color="00A6B6" w:themeColor="accent1"/>
          <w:right w:val="single" w:sz="4" w:space="0" w:color="00A6B6" w:themeColor="accent1"/>
          <w:insideH w:val="nil"/>
          <w:insideV w:val="nil"/>
        </w:tcBorders>
        <w:shd w:val="clear" w:color="auto" w:fill="00A6B6" w:themeFill="accent1"/>
      </w:tcPr>
    </w:tblStylePr>
    <w:tblStylePr w:type="lastRow">
      <w:rPr>
        <w:b/>
        <w:bCs/>
      </w:rPr>
      <w:tblPr/>
      <w:tcPr>
        <w:tcBorders>
          <w:top w:val="double" w:sz="4" w:space="0" w:color="00A6B6" w:themeColor="accent1"/>
        </w:tcBorders>
      </w:tcPr>
    </w:tblStylePr>
    <w:tblStylePr w:type="firstCol">
      <w:rPr>
        <w:b/>
        <w:bCs/>
      </w:rPr>
    </w:tblStylePr>
    <w:tblStylePr w:type="lastCol">
      <w:rPr>
        <w:b/>
        <w:bCs/>
      </w:rPr>
    </w:tblStylePr>
    <w:tblStylePr w:type="band1Vert">
      <w:tblPr/>
      <w:tcPr>
        <w:shd w:val="clear" w:color="auto" w:fill="BDF9FF" w:themeFill="accent1" w:themeFillTint="33"/>
      </w:tcPr>
    </w:tblStylePr>
    <w:tblStylePr w:type="band1Horz">
      <w:tblPr/>
      <w:tcPr>
        <w:shd w:val="clear" w:color="auto" w:fill="BDF9FF" w:themeFill="accent1" w:themeFillTint="33"/>
      </w:tcPr>
    </w:tblStylePr>
  </w:style>
  <w:style w:type="table" w:styleId="GridTable4-Accent2">
    <w:name w:val="Grid Table 4 Accent 2"/>
    <w:basedOn w:val="TableNormal"/>
    <w:uiPriority w:val="49"/>
    <w:rsid w:val="00F26771"/>
    <w:tblPr>
      <w:tblStyleRowBandSize w:val="1"/>
      <w:tblStyleColBandSize w:val="1"/>
      <w:tblBorders>
        <w:top w:val="single" w:sz="4" w:space="0" w:color="2D8AF7" w:themeColor="accent2" w:themeTint="99"/>
        <w:left w:val="single" w:sz="4" w:space="0" w:color="2D8AF7" w:themeColor="accent2" w:themeTint="99"/>
        <w:bottom w:val="single" w:sz="4" w:space="0" w:color="2D8AF7" w:themeColor="accent2" w:themeTint="99"/>
        <w:right w:val="single" w:sz="4" w:space="0" w:color="2D8AF7" w:themeColor="accent2" w:themeTint="99"/>
        <w:insideH w:val="single" w:sz="4" w:space="0" w:color="2D8AF7" w:themeColor="accent2" w:themeTint="99"/>
        <w:insideV w:val="single" w:sz="4" w:space="0" w:color="2D8AF7" w:themeColor="accent2" w:themeTint="99"/>
      </w:tblBorders>
    </w:tblPr>
    <w:tblStylePr w:type="firstRow">
      <w:rPr>
        <w:b/>
        <w:bCs/>
        <w:color w:val="FFFFFF" w:themeColor="background1"/>
      </w:rPr>
      <w:tblPr/>
      <w:tcPr>
        <w:tcBorders>
          <w:top w:val="single" w:sz="4" w:space="0" w:color="05458F" w:themeColor="accent2"/>
          <w:left w:val="single" w:sz="4" w:space="0" w:color="05458F" w:themeColor="accent2"/>
          <w:bottom w:val="single" w:sz="4" w:space="0" w:color="05458F" w:themeColor="accent2"/>
          <w:right w:val="single" w:sz="4" w:space="0" w:color="05458F" w:themeColor="accent2"/>
          <w:insideH w:val="nil"/>
          <w:insideV w:val="nil"/>
        </w:tcBorders>
        <w:shd w:val="clear" w:color="auto" w:fill="05458F" w:themeFill="accent2"/>
      </w:tcPr>
    </w:tblStylePr>
    <w:tblStylePr w:type="lastRow">
      <w:rPr>
        <w:b/>
        <w:bCs/>
      </w:rPr>
      <w:tblPr/>
      <w:tcPr>
        <w:tcBorders>
          <w:top w:val="double" w:sz="4" w:space="0" w:color="05458F" w:themeColor="accent2"/>
        </w:tcBorders>
      </w:tcPr>
    </w:tblStylePr>
    <w:tblStylePr w:type="firstCol">
      <w:rPr>
        <w:b/>
        <w:bCs/>
      </w:rPr>
    </w:tblStylePr>
    <w:tblStylePr w:type="lastCol">
      <w:rPr>
        <w:b/>
        <w:bCs/>
      </w:rPr>
    </w:tblStylePr>
    <w:tblStylePr w:type="band1Vert">
      <w:tblPr/>
      <w:tcPr>
        <w:shd w:val="clear" w:color="auto" w:fill="B8D8FC" w:themeFill="accent2" w:themeFillTint="33"/>
      </w:tcPr>
    </w:tblStylePr>
    <w:tblStylePr w:type="band1Horz">
      <w:tblPr/>
      <w:tcPr>
        <w:shd w:val="clear" w:color="auto" w:fill="B8D8FC" w:themeFill="accent2" w:themeFillTint="33"/>
      </w:tcPr>
    </w:tblStylePr>
  </w:style>
  <w:style w:type="table" w:styleId="GridTable4-Accent3">
    <w:name w:val="Grid Table 4 Accent 3"/>
    <w:basedOn w:val="TableNormal"/>
    <w:uiPriority w:val="49"/>
    <w:rsid w:val="00F26771"/>
    <w:tblPr>
      <w:tblStyleRowBandSize w:val="1"/>
      <w:tblStyleColBandSize w:val="1"/>
      <w:tblBorders>
        <w:top w:val="single" w:sz="4" w:space="0" w:color="9E58D4" w:themeColor="accent3" w:themeTint="99"/>
        <w:left w:val="single" w:sz="4" w:space="0" w:color="9E58D4" w:themeColor="accent3" w:themeTint="99"/>
        <w:bottom w:val="single" w:sz="4" w:space="0" w:color="9E58D4" w:themeColor="accent3" w:themeTint="99"/>
        <w:right w:val="single" w:sz="4" w:space="0" w:color="9E58D4" w:themeColor="accent3" w:themeTint="99"/>
        <w:insideH w:val="single" w:sz="4" w:space="0" w:color="9E58D4" w:themeColor="accent3" w:themeTint="99"/>
        <w:insideV w:val="single" w:sz="4" w:space="0" w:color="9E58D4" w:themeColor="accent3" w:themeTint="99"/>
      </w:tblBorders>
    </w:tblPr>
    <w:tblStylePr w:type="firstRow">
      <w:rPr>
        <w:b/>
        <w:bCs/>
        <w:color w:val="FFFFFF" w:themeColor="background1"/>
      </w:rPr>
      <w:tblPr/>
      <w:tcPr>
        <w:tcBorders>
          <w:top w:val="single" w:sz="4" w:space="0" w:color="572181" w:themeColor="accent3"/>
          <w:left w:val="single" w:sz="4" w:space="0" w:color="572181" w:themeColor="accent3"/>
          <w:bottom w:val="single" w:sz="4" w:space="0" w:color="572181" w:themeColor="accent3"/>
          <w:right w:val="single" w:sz="4" w:space="0" w:color="572181" w:themeColor="accent3"/>
          <w:insideH w:val="nil"/>
          <w:insideV w:val="nil"/>
        </w:tcBorders>
        <w:shd w:val="clear" w:color="auto" w:fill="572181" w:themeFill="accent3"/>
      </w:tcPr>
    </w:tblStylePr>
    <w:tblStylePr w:type="lastRow">
      <w:rPr>
        <w:b/>
        <w:bCs/>
      </w:rPr>
      <w:tblPr/>
      <w:tcPr>
        <w:tcBorders>
          <w:top w:val="double" w:sz="4" w:space="0" w:color="572181" w:themeColor="accent3"/>
        </w:tcBorders>
      </w:tcPr>
    </w:tblStylePr>
    <w:tblStylePr w:type="firstCol">
      <w:rPr>
        <w:b/>
        <w:bCs/>
      </w:rPr>
    </w:tblStylePr>
    <w:tblStylePr w:type="lastCol">
      <w:rPr>
        <w:b/>
        <w:bCs/>
      </w:rPr>
    </w:tblStylePr>
    <w:tblStylePr w:type="band1Vert">
      <w:tblPr/>
      <w:tcPr>
        <w:shd w:val="clear" w:color="auto" w:fill="DEC7F0" w:themeFill="accent3" w:themeFillTint="33"/>
      </w:tcPr>
    </w:tblStylePr>
    <w:tblStylePr w:type="band1Horz">
      <w:tblPr/>
      <w:tcPr>
        <w:shd w:val="clear" w:color="auto" w:fill="DEC7F0" w:themeFill="accent3" w:themeFillTint="33"/>
      </w:tcPr>
    </w:tblStylePr>
  </w:style>
  <w:style w:type="table" w:styleId="GridTable5Dark-Accent1">
    <w:name w:val="Grid Table 5 Dark Accent 1"/>
    <w:basedOn w:val="TableNormal"/>
    <w:uiPriority w:val="50"/>
    <w:rsid w:val="00F2677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6B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6B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6B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6B6" w:themeFill="accent1"/>
      </w:tcPr>
    </w:tblStylePr>
    <w:tblStylePr w:type="band1Vert">
      <w:tblPr/>
      <w:tcPr>
        <w:shd w:val="clear" w:color="auto" w:fill="7BF3FF" w:themeFill="accent1" w:themeFillTint="66"/>
      </w:tcPr>
    </w:tblStylePr>
    <w:tblStylePr w:type="band1Horz">
      <w:tblPr/>
      <w:tcPr>
        <w:shd w:val="clear" w:color="auto" w:fill="7BF3FF" w:themeFill="accent1" w:themeFillTint="66"/>
      </w:tcPr>
    </w:tblStylePr>
  </w:style>
  <w:style w:type="table" w:styleId="ListTable3-Accent1">
    <w:name w:val="List Table 3 Accent 1"/>
    <w:basedOn w:val="TableNormal"/>
    <w:uiPriority w:val="48"/>
    <w:rsid w:val="00F26771"/>
    <w:tblPr>
      <w:tblStyleRowBandSize w:val="1"/>
      <w:tblStyleColBandSize w:val="1"/>
      <w:tblBorders>
        <w:top w:val="single" w:sz="4" w:space="0" w:color="00A6B6" w:themeColor="accent1"/>
        <w:left w:val="single" w:sz="4" w:space="0" w:color="00A6B6" w:themeColor="accent1"/>
        <w:bottom w:val="single" w:sz="4" w:space="0" w:color="00A6B6" w:themeColor="accent1"/>
        <w:right w:val="single" w:sz="4" w:space="0" w:color="00A6B6" w:themeColor="accent1"/>
      </w:tblBorders>
    </w:tblPr>
    <w:tblStylePr w:type="firstRow">
      <w:rPr>
        <w:b/>
        <w:bCs/>
        <w:color w:val="FFFFFF" w:themeColor="background1"/>
      </w:rPr>
      <w:tblPr/>
      <w:tcPr>
        <w:shd w:val="clear" w:color="auto" w:fill="00A6B6" w:themeFill="accent1"/>
      </w:tcPr>
    </w:tblStylePr>
    <w:tblStylePr w:type="lastRow">
      <w:rPr>
        <w:b/>
        <w:bCs/>
      </w:rPr>
      <w:tblPr/>
      <w:tcPr>
        <w:tcBorders>
          <w:top w:val="double" w:sz="4" w:space="0" w:color="00A6B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6B6" w:themeColor="accent1"/>
          <w:right w:val="single" w:sz="4" w:space="0" w:color="00A6B6" w:themeColor="accent1"/>
        </w:tcBorders>
      </w:tcPr>
    </w:tblStylePr>
    <w:tblStylePr w:type="band1Horz">
      <w:tblPr/>
      <w:tcPr>
        <w:tcBorders>
          <w:top w:val="single" w:sz="4" w:space="0" w:color="00A6B6" w:themeColor="accent1"/>
          <w:bottom w:val="single" w:sz="4" w:space="0" w:color="00A6B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6B6" w:themeColor="accent1"/>
          <w:left w:val="nil"/>
        </w:tcBorders>
      </w:tcPr>
    </w:tblStylePr>
    <w:tblStylePr w:type="swCell">
      <w:tblPr/>
      <w:tcPr>
        <w:tcBorders>
          <w:top w:val="double" w:sz="4" w:space="0" w:color="00A6B6" w:themeColor="accent1"/>
          <w:right w:val="nil"/>
        </w:tcBorders>
      </w:tcPr>
    </w:tblStylePr>
  </w:style>
  <w:style w:type="paragraph" w:styleId="Footer">
    <w:name w:val="footer"/>
    <w:basedOn w:val="Normal"/>
    <w:link w:val="FooterChar"/>
    <w:uiPriority w:val="99"/>
    <w:unhideWhenUsed/>
    <w:rsid w:val="00622E27"/>
    <w:pPr>
      <w:tabs>
        <w:tab w:val="center" w:pos="4680"/>
        <w:tab w:val="right" w:pos="9360"/>
      </w:tabs>
    </w:pPr>
  </w:style>
  <w:style w:type="character" w:customStyle="1" w:styleId="FooterChar">
    <w:name w:val="Footer Char"/>
    <w:basedOn w:val="DefaultParagraphFont"/>
    <w:link w:val="Footer"/>
    <w:uiPriority w:val="99"/>
    <w:rsid w:val="00622E27"/>
  </w:style>
  <w:style w:type="character" w:styleId="PageNumber">
    <w:name w:val="page number"/>
    <w:basedOn w:val="DefaultParagraphFont"/>
    <w:uiPriority w:val="99"/>
    <w:semiHidden/>
    <w:unhideWhenUsed/>
    <w:rsid w:val="00622E27"/>
  </w:style>
  <w:style w:type="paragraph" w:styleId="Header">
    <w:name w:val="header"/>
    <w:basedOn w:val="Normal"/>
    <w:link w:val="HeaderChar"/>
    <w:uiPriority w:val="99"/>
    <w:unhideWhenUsed/>
    <w:rsid w:val="00622E27"/>
    <w:pPr>
      <w:tabs>
        <w:tab w:val="center" w:pos="4680"/>
        <w:tab w:val="right" w:pos="9360"/>
      </w:tabs>
    </w:pPr>
  </w:style>
  <w:style w:type="character" w:customStyle="1" w:styleId="HeaderChar">
    <w:name w:val="Header Char"/>
    <w:basedOn w:val="DefaultParagraphFont"/>
    <w:link w:val="Header"/>
    <w:uiPriority w:val="99"/>
    <w:rsid w:val="00622E27"/>
  </w:style>
  <w:style w:type="paragraph" w:styleId="Revision">
    <w:name w:val="Revision"/>
    <w:hidden/>
    <w:uiPriority w:val="99"/>
    <w:semiHidden/>
    <w:rsid w:val="00731114"/>
  </w:style>
  <w:style w:type="table" w:styleId="ListTable2-Accent4">
    <w:name w:val="List Table 2 Accent 4"/>
    <w:basedOn w:val="TableNormal"/>
    <w:uiPriority w:val="47"/>
    <w:rsid w:val="00B85055"/>
    <w:tblPr>
      <w:tblStyleRowBandSize w:val="1"/>
      <w:tblStyleColBandSize w:val="1"/>
      <w:tblBorders>
        <w:top w:val="single" w:sz="4" w:space="0" w:color="E6FAFE" w:themeColor="accent4" w:themeTint="99"/>
        <w:bottom w:val="single" w:sz="4" w:space="0" w:color="E6FAFE" w:themeColor="accent4" w:themeTint="99"/>
        <w:insideH w:val="single" w:sz="4" w:space="0" w:color="E6FAF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DFE" w:themeFill="accent4" w:themeFillTint="33"/>
      </w:tcPr>
    </w:tblStylePr>
    <w:tblStylePr w:type="band1Horz">
      <w:tblPr/>
      <w:tcPr>
        <w:shd w:val="clear" w:color="auto" w:fill="F6FDFE" w:themeFill="accent4" w:themeFillTint="33"/>
      </w:tcPr>
    </w:tblStylePr>
  </w:style>
  <w:style w:type="character" w:customStyle="1" w:styleId="UnresolvedMention2">
    <w:name w:val="Unresolved Mention2"/>
    <w:basedOn w:val="DefaultParagraphFont"/>
    <w:uiPriority w:val="99"/>
    <w:rsid w:val="00E03EC9"/>
    <w:rPr>
      <w:color w:val="605E5C"/>
      <w:shd w:val="clear" w:color="auto" w:fill="E1DFDD"/>
    </w:rPr>
  </w:style>
  <w:style w:type="character" w:customStyle="1" w:styleId="UnresolvedMention3">
    <w:name w:val="Unresolved Mention3"/>
    <w:basedOn w:val="DefaultParagraphFont"/>
    <w:uiPriority w:val="99"/>
    <w:semiHidden/>
    <w:unhideWhenUsed/>
    <w:rsid w:val="00C24E77"/>
    <w:rPr>
      <w:color w:val="605E5C"/>
      <w:shd w:val="clear" w:color="auto" w:fill="E1DFDD"/>
    </w:rPr>
  </w:style>
  <w:style w:type="character" w:styleId="UnresolvedMention">
    <w:name w:val="Unresolved Mention"/>
    <w:basedOn w:val="DefaultParagraphFont"/>
    <w:uiPriority w:val="99"/>
    <w:semiHidden/>
    <w:unhideWhenUsed/>
    <w:rsid w:val="007F40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6053">
      <w:bodyDiv w:val="1"/>
      <w:marLeft w:val="0"/>
      <w:marRight w:val="0"/>
      <w:marTop w:val="0"/>
      <w:marBottom w:val="0"/>
      <w:divBdr>
        <w:top w:val="none" w:sz="0" w:space="0" w:color="auto"/>
        <w:left w:val="none" w:sz="0" w:space="0" w:color="auto"/>
        <w:bottom w:val="none" w:sz="0" w:space="0" w:color="auto"/>
        <w:right w:val="none" w:sz="0" w:space="0" w:color="auto"/>
      </w:divBdr>
    </w:div>
    <w:div w:id="277301219">
      <w:bodyDiv w:val="1"/>
      <w:marLeft w:val="0"/>
      <w:marRight w:val="0"/>
      <w:marTop w:val="0"/>
      <w:marBottom w:val="0"/>
      <w:divBdr>
        <w:top w:val="none" w:sz="0" w:space="0" w:color="auto"/>
        <w:left w:val="none" w:sz="0" w:space="0" w:color="auto"/>
        <w:bottom w:val="none" w:sz="0" w:space="0" w:color="auto"/>
        <w:right w:val="none" w:sz="0" w:space="0" w:color="auto"/>
      </w:divBdr>
    </w:div>
    <w:div w:id="331567913">
      <w:bodyDiv w:val="1"/>
      <w:marLeft w:val="0"/>
      <w:marRight w:val="0"/>
      <w:marTop w:val="0"/>
      <w:marBottom w:val="0"/>
      <w:divBdr>
        <w:top w:val="none" w:sz="0" w:space="0" w:color="auto"/>
        <w:left w:val="none" w:sz="0" w:space="0" w:color="auto"/>
        <w:bottom w:val="none" w:sz="0" w:space="0" w:color="auto"/>
        <w:right w:val="none" w:sz="0" w:space="0" w:color="auto"/>
      </w:divBdr>
    </w:div>
    <w:div w:id="350108158">
      <w:bodyDiv w:val="1"/>
      <w:marLeft w:val="0"/>
      <w:marRight w:val="0"/>
      <w:marTop w:val="0"/>
      <w:marBottom w:val="0"/>
      <w:divBdr>
        <w:top w:val="none" w:sz="0" w:space="0" w:color="auto"/>
        <w:left w:val="none" w:sz="0" w:space="0" w:color="auto"/>
        <w:bottom w:val="none" w:sz="0" w:space="0" w:color="auto"/>
        <w:right w:val="none" w:sz="0" w:space="0" w:color="auto"/>
      </w:divBdr>
    </w:div>
    <w:div w:id="360787614">
      <w:bodyDiv w:val="1"/>
      <w:marLeft w:val="0"/>
      <w:marRight w:val="0"/>
      <w:marTop w:val="0"/>
      <w:marBottom w:val="0"/>
      <w:divBdr>
        <w:top w:val="none" w:sz="0" w:space="0" w:color="auto"/>
        <w:left w:val="none" w:sz="0" w:space="0" w:color="auto"/>
        <w:bottom w:val="none" w:sz="0" w:space="0" w:color="auto"/>
        <w:right w:val="none" w:sz="0" w:space="0" w:color="auto"/>
      </w:divBdr>
    </w:div>
    <w:div w:id="420882691">
      <w:bodyDiv w:val="1"/>
      <w:marLeft w:val="0"/>
      <w:marRight w:val="0"/>
      <w:marTop w:val="0"/>
      <w:marBottom w:val="0"/>
      <w:divBdr>
        <w:top w:val="none" w:sz="0" w:space="0" w:color="auto"/>
        <w:left w:val="none" w:sz="0" w:space="0" w:color="auto"/>
        <w:bottom w:val="none" w:sz="0" w:space="0" w:color="auto"/>
        <w:right w:val="none" w:sz="0" w:space="0" w:color="auto"/>
      </w:divBdr>
    </w:div>
    <w:div w:id="457069775">
      <w:bodyDiv w:val="1"/>
      <w:marLeft w:val="0"/>
      <w:marRight w:val="0"/>
      <w:marTop w:val="0"/>
      <w:marBottom w:val="0"/>
      <w:divBdr>
        <w:top w:val="none" w:sz="0" w:space="0" w:color="auto"/>
        <w:left w:val="none" w:sz="0" w:space="0" w:color="auto"/>
        <w:bottom w:val="none" w:sz="0" w:space="0" w:color="auto"/>
        <w:right w:val="none" w:sz="0" w:space="0" w:color="auto"/>
      </w:divBdr>
    </w:div>
    <w:div w:id="467935288">
      <w:bodyDiv w:val="1"/>
      <w:marLeft w:val="0"/>
      <w:marRight w:val="0"/>
      <w:marTop w:val="0"/>
      <w:marBottom w:val="0"/>
      <w:divBdr>
        <w:top w:val="none" w:sz="0" w:space="0" w:color="auto"/>
        <w:left w:val="none" w:sz="0" w:space="0" w:color="auto"/>
        <w:bottom w:val="none" w:sz="0" w:space="0" w:color="auto"/>
        <w:right w:val="none" w:sz="0" w:space="0" w:color="auto"/>
      </w:divBdr>
    </w:div>
    <w:div w:id="475100050">
      <w:bodyDiv w:val="1"/>
      <w:marLeft w:val="0"/>
      <w:marRight w:val="0"/>
      <w:marTop w:val="0"/>
      <w:marBottom w:val="0"/>
      <w:divBdr>
        <w:top w:val="none" w:sz="0" w:space="0" w:color="auto"/>
        <w:left w:val="none" w:sz="0" w:space="0" w:color="auto"/>
        <w:bottom w:val="none" w:sz="0" w:space="0" w:color="auto"/>
        <w:right w:val="none" w:sz="0" w:space="0" w:color="auto"/>
      </w:divBdr>
    </w:div>
    <w:div w:id="519317255">
      <w:bodyDiv w:val="1"/>
      <w:marLeft w:val="0"/>
      <w:marRight w:val="0"/>
      <w:marTop w:val="0"/>
      <w:marBottom w:val="0"/>
      <w:divBdr>
        <w:top w:val="none" w:sz="0" w:space="0" w:color="auto"/>
        <w:left w:val="none" w:sz="0" w:space="0" w:color="auto"/>
        <w:bottom w:val="none" w:sz="0" w:space="0" w:color="auto"/>
        <w:right w:val="none" w:sz="0" w:space="0" w:color="auto"/>
      </w:divBdr>
    </w:div>
    <w:div w:id="618070172">
      <w:bodyDiv w:val="1"/>
      <w:marLeft w:val="0"/>
      <w:marRight w:val="0"/>
      <w:marTop w:val="0"/>
      <w:marBottom w:val="0"/>
      <w:divBdr>
        <w:top w:val="none" w:sz="0" w:space="0" w:color="auto"/>
        <w:left w:val="none" w:sz="0" w:space="0" w:color="auto"/>
        <w:bottom w:val="none" w:sz="0" w:space="0" w:color="auto"/>
        <w:right w:val="none" w:sz="0" w:space="0" w:color="auto"/>
      </w:divBdr>
    </w:div>
    <w:div w:id="634601046">
      <w:bodyDiv w:val="1"/>
      <w:marLeft w:val="0"/>
      <w:marRight w:val="0"/>
      <w:marTop w:val="0"/>
      <w:marBottom w:val="0"/>
      <w:divBdr>
        <w:top w:val="none" w:sz="0" w:space="0" w:color="auto"/>
        <w:left w:val="none" w:sz="0" w:space="0" w:color="auto"/>
        <w:bottom w:val="none" w:sz="0" w:space="0" w:color="auto"/>
        <w:right w:val="none" w:sz="0" w:space="0" w:color="auto"/>
      </w:divBdr>
    </w:div>
    <w:div w:id="635643117">
      <w:bodyDiv w:val="1"/>
      <w:marLeft w:val="0"/>
      <w:marRight w:val="0"/>
      <w:marTop w:val="0"/>
      <w:marBottom w:val="0"/>
      <w:divBdr>
        <w:top w:val="none" w:sz="0" w:space="0" w:color="auto"/>
        <w:left w:val="none" w:sz="0" w:space="0" w:color="auto"/>
        <w:bottom w:val="none" w:sz="0" w:space="0" w:color="auto"/>
        <w:right w:val="none" w:sz="0" w:space="0" w:color="auto"/>
      </w:divBdr>
    </w:div>
    <w:div w:id="639575049">
      <w:bodyDiv w:val="1"/>
      <w:marLeft w:val="0"/>
      <w:marRight w:val="0"/>
      <w:marTop w:val="0"/>
      <w:marBottom w:val="0"/>
      <w:divBdr>
        <w:top w:val="none" w:sz="0" w:space="0" w:color="auto"/>
        <w:left w:val="none" w:sz="0" w:space="0" w:color="auto"/>
        <w:bottom w:val="none" w:sz="0" w:space="0" w:color="auto"/>
        <w:right w:val="none" w:sz="0" w:space="0" w:color="auto"/>
      </w:divBdr>
    </w:div>
    <w:div w:id="833493117">
      <w:bodyDiv w:val="1"/>
      <w:marLeft w:val="0"/>
      <w:marRight w:val="0"/>
      <w:marTop w:val="0"/>
      <w:marBottom w:val="0"/>
      <w:divBdr>
        <w:top w:val="none" w:sz="0" w:space="0" w:color="auto"/>
        <w:left w:val="none" w:sz="0" w:space="0" w:color="auto"/>
        <w:bottom w:val="none" w:sz="0" w:space="0" w:color="auto"/>
        <w:right w:val="none" w:sz="0" w:space="0" w:color="auto"/>
      </w:divBdr>
    </w:div>
    <w:div w:id="871111739">
      <w:bodyDiv w:val="1"/>
      <w:marLeft w:val="0"/>
      <w:marRight w:val="0"/>
      <w:marTop w:val="0"/>
      <w:marBottom w:val="0"/>
      <w:divBdr>
        <w:top w:val="none" w:sz="0" w:space="0" w:color="auto"/>
        <w:left w:val="none" w:sz="0" w:space="0" w:color="auto"/>
        <w:bottom w:val="none" w:sz="0" w:space="0" w:color="auto"/>
        <w:right w:val="none" w:sz="0" w:space="0" w:color="auto"/>
      </w:divBdr>
    </w:div>
    <w:div w:id="1028603754">
      <w:bodyDiv w:val="1"/>
      <w:marLeft w:val="0"/>
      <w:marRight w:val="0"/>
      <w:marTop w:val="0"/>
      <w:marBottom w:val="0"/>
      <w:divBdr>
        <w:top w:val="none" w:sz="0" w:space="0" w:color="auto"/>
        <w:left w:val="none" w:sz="0" w:space="0" w:color="auto"/>
        <w:bottom w:val="none" w:sz="0" w:space="0" w:color="auto"/>
        <w:right w:val="none" w:sz="0" w:space="0" w:color="auto"/>
      </w:divBdr>
    </w:div>
    <w:div w:id="1032264376">
      <w:bodyDiv w:val="1"/>
      <w:marLeft w:val="0"/>
      <w:marRight w:val="0"/>
      <w:marTop w:val="0"/>
      <w:marBottom w:val="0"/>
      <w:divBdr>
        <w:top w:val="none" w:sz="0" w:space="0" w:color="auto"/>
        <w:left w:val="none" w:sz="0" w:space="0" w:color="auto"/>
        <w:bottom w:val="none" w:sz="0" w:space="0" w:color="auto"/>
        <w:right w:val="none" w:sz="0" w:space="0" w:color="auto"/>
      </w:divBdr>
    </w:div>
    <w:div w:id="1171600515">
      <w:bodyDiv w:val="1"/>
      <w:marLeft w:val="0"/>
      <w:marRight w:val="0"/>
      <w:marTop w:val="0"/>
      <w:marBottom w:val="0"/>
      <w:divBdr>
        <w:top w:val="none" w:sz="0" w:space="0" w:color="auto"/>
        <w:left w:val="none" w:sz="0" w:space="0" w:color="auto"/>
        <w:bottom w:val="none" w:sz="0" w:space="0" w:color="auto"/>
        <w:right w:val="none" w:sz="0" w:space="0" w:color="auto"/>
      </w:divBdr>
    </w:div>
    <w:div w:id="1199854907">
      <w:bodyDiv w:val="1"/>
      <w:marLeft w:val="0"/>
      <w:marRight w:val="0"/>
      <w:marTop w:val="0"/>
      <w:marBottom w:val="0"/>
      <w:divBdr>
        <w:top w:val="none" w:sz="0" w:space="0" w:color="auto"/>
        <w:left w:val="none" w:sz="0" w:space="0" w:color="auto"/>
        <w:bottom w:val="none" w:sz="0" w:space="0" w:color="auto"/>
        <w:right w:val="none" w:sz="0" w:space="0" w:color="auto"/>
      </w:divBdr>
    </w:div>
    <w:div w:id="1205823457">
      <w:bodyDiv w:val="1"/>
      <w:marLeft w:val="0"/>
      <w:marRight w:val="0"/>
      <w:marTop w:val="0"/>
      <w:marBottom w:val="0"/>
      <w:divBdr>
        <w:top w:val="none" w:sz="0" w:space="0" w:color="auto"/>
        <w:left w:val="none" w:sz="0" w:space="0" w:color="auto"/>
        <w:bottom w:val="none" w:sz="0" w:space="0" w:color="auto"/>
        <w:right w:val="none" w:sz="0" w:space="0" w:color="auto"/>
      </w:divBdr>
    </w:div>
    <w:div w:id="1221865662">
      <w:bodyDiv w:val="1"/>
      <w:marLeft w:val="0"/>
      <w:marRight w:val="0"/>
      <w:marTop w:val="0"/>
      <w:marBottom w:val="0"/>
      <w:divBdr>
        <w:top w:val="none" w:sz="0" w:space="0" w:color="auto"/>
        <w:left w:val="none" w:sz="0" w:space="0" w:color="auto"/>
        <w:bottom w:val="none" w:sz="0" w:space="0" w:color="auto"/>
        <w:right w:val="none" w:sz="0" w:space="0" w:color="auto"/>
      </w:divBdr>
    </w:div>
    <w:div w:id="1236234284">
      <w:bodyDiv w:val="1"/>
      <w:marLeft w:val="0"/>
      <w:marRight w:val="0"/>
      <w:marTop w:val="0"/>
      <w:marBottom w:val="0"/>
      <w:divBdr>
        <w:top w:val="none" w:sz="0" w:space="0" w:color="auto"/>
        <w:left w:val="none" w:sz="0" w:space="0" w:color="auto"/>
        <w:bottom w:val="none" w:sz="0" w:space="0" w:color="auto"/>
        <w:right w:val="none" w:sz="0" w:space="0" w:color="auto"/>
      </w:divBdr>
    </w:div>
    <w:div w:id="1291008194">
      <w:bodyDiv w:val="1"/>
      <w:marLeft w:val="0"/>
      <w:marRight w:val="0"/>
      <w:marTop w:val="0"/>
      <w:marBottom w:val="0"/>
      <w:divBdr>
        <w:top w:val="none" w:sz="0" w:space="0" w:color="auto"/>
        <w:left w:val="none" w:sz="0" w:space="0" w:color="auto"/>
        <w:bottom w:val="none" w:sz="0" w:space="0" w:color="auto"/>
        <w:right w:val="none" w:sz="0" w:space="0" w:color="auto"/>
      </w:divBdr>
    </w:div>
    <w:div w:id="1351494363">
      <w:bodyDiv w:val="1"/>
      <w:marLeft w:val="0"/>
      <w:marRight w:val="0"/>
      <w:marTop w:val="0"/>
      <w:marBottom w:val="0"/>
      <w:divBdr>
        <w:top w:val="none" w:sz="0" w:space="0" w:color="auto"/>
        <w:left w:val="none" w:sz="0" w:space="0" w:color="auto"/>
        <w:bottom w:val="none" w:sz="0" w:space="0" w:color="auto"/>
        <w:right w:val="none" w:sz="0" w:space="0" w:color="auto"/>
      </w:divBdr>
    </w:div>
    <w:div w:id="1431312459">
      <w:bodyDiv w:val="1"/>
      <w:marLeft w:val="0"/>
      <w:marRight w:val="0"/>
      <w:marTop w:val="0"/>
      <w:marBottom w:val="0"/>
      <w:divBdr>
        <w:top w:val="none" w:sz="0" w:space="0" w:color="auto"/>
        <w:left w:val="none" w:sz="0" w:space="0" w:color="auto"/>
        <w:bottom w:val="none" w:sz="0" w:space="0" w:color="auto"/>
        <w:right w:val="none" w:sz="0" w:space="0" w:color="auto"/>
      </w:divBdr>
      <w:divsChild>
        <w:div w:id="731582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15255">
              <w:marLeft w:val="0"/>
              <w:marRight w:val="0"/>
              <w:marTop w:val="0"/>
              <w:marBottom w:val="0"/>
              <w:divBdr>
                <w:top w:val="none" w:sz="0" w:space="0" w:color="auto"/>
                <w:left w:val="none" w:sz="0" w:space="0" w:color="auto"/>
                <w:bottom w:val="none" w:sz="0" w:space="0" w:color="auto"/>
                <w:right w:val="none" w:sz="0" w:space="0" w:color="auto"/>
              </w:divBdr>
              <w:divsChild>
                <w:div w:id="11018748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3772">
      <w:bodyDiv w:val="1"/>
      <w:marLeft w:val="0"/>
      <w:marRight w:val="0"/>
      <w:marTop w:val="0"/>
      <w:marBottom w:val="0"/>
      <w:divBdr>
        <w:top w:val="none" w:sz="0" w:space="0" w:color="auto"/>
        <w:left w:val="none" w:sz="0" w:space="0" w:color="auto"/>
        <w:bottom w:val="none" w:sz="0" w:space="0" w:color="auto"/>
        <w:right w:val="none" w:sz="0" w:space="0" w:color="auto"/>
      </w:divBdr>
    </w:div>
    <w:div w:id="1565675723">
      <w:bodyDiv w:val="1"/>
      <w:marLeft w:val="0"/>
      <w:marRight w:val="0"/>
      <w:marTop w:val="0"/>
      <w:marBottom w:val="0"/>
      <w:divBdr>
        <w:top w:val="none" w:sz="0" w:space="0" w:color="auto"/>
        <w:left w:val="none" w:sz="0" w:space="0" w:color="auto"/>
        <w:bottom w:val="none" w:sz="0" w:space="0" w:color="auto"/>
        <w:right w:val="none" w:sz="0" w:space="0" w:color="auto"/>
      </w:divBdr>
    </w:div>
    <w:div w:id="1638802827">
      <w:bodyDiv w:val="1"/>
      <w:marLeft w:val="0"/>
      <w:marRight w:val="0"/>
      <w:marTop w:val="0"/>
      <w:marBottom w:val="0"/>
      <w:divBdr>
        <w:top w:val="none" w:sz="0" w:space="0" w:color="auto"/>
        <w:left w:val="none" w:sz="0" w:space="0" w:color="auto"/>
        <w:bottom w:val="none" w:sz="0" w:space="0" w:color="auto"/>
        <w:right w:val="none" w:sz="0" w:space="0" w:color="auto"/>
      </w:divBdr>
    </w:div>
    <w:div w:id="1653562877">
      <w:bodyDiv w:val="1"/>
      <w:marLeft w:val="0"/>
      <w:marRight w:val="0"/>
      <w:marTop w:val="0"/>
      <w:marBottom w:val="0"/>
      <w:divBdr>
        <w:top w:val="none" w:sz="0" w:space="0" w:color="auto"/>
        <w:left w:val="none" w:sz="0" w:space="0" w:color="auto"/>
        <w:bottom w:val="none" w:sz="0" w:space="0" w:color="auto"/>
        <w:right w:val="none" w:sz="0" w:space="0" w:color="auto"/>
      </w:divBdr>
    </w:div>
    <w:div w:id="1687514550">
      <w:bodyDiv w:val="1"/>
      <w:marLeft w:val="0"/>
      <w:marRight w:val="0"/>
      <w:marTop w:val="0"/>
      <w:marBottom w:val="0"/>
      <w:divBdr>
        <w:top w:val="none" w:sz="0" w:space="0" w:color="auto"/>
        <w:left w:val="none" w:sz="0" w:space="0" w:color="auto"/>
        <w:bottom w:val="none" w:sz="0" w:space="0" w:color="auto"/>
        <w:right w:val="none" w:sz="0" w:space="0" w:color="auto"/>
      </w:divBdr>
    </w:div>
    <w:div w:id="1771899166">
      <w:bodyDiv w:val="1"/>
      <w:marLeft w:val="0"/>
      <w:marRight w:val="0"/>
      <w:marTop w:val="0"/>
      <w:marBottom w:val="0"/>
      <w:divBdr>
        <w:top w:val="none" w:sz="0" w:space="0" w:color="auto"/>
        <w:left w:val="none" w:sz="0" w:space="0" w:color="auto"/>
        <w:bottom w:val="none" w:sz="0" w:space="0" w:color="auto"/>
        <w:right w:val="none" w:sz="0" w:space="0" w:color="auto"/>
      </w:divBdr>
    </w:div>
    <w:div w:id="1797748246">
      <w:bodyDiv w:val="1"/>
      <w:marLeft w:val="0"/>
      <w:marRight w:val="0"/>
      <w:marTop w:val="0"/>
      <w:marBottom w:val="0"/>
      <w:divBdr>
        <w:top w:val="none" w:sz="0" w:space="0" w:color="auto"/>
        <w:left w:val="none" w:sz="0" w:space="0" w:color="auto"/>
        <w:bottom w:val="none" w:sz="0" w:space="0" w:color="auto"/>
        <w:right w:val="none" w:sz="0" w:space="0" w:color="auto"/>
      </w:divBdr>
    </w:div>
    <w:div w:id="1800681783">
      <w:bodyDiv w:val="1"/>
      <w:marLeft w:val="0"/>
      <w:marRight w:val="0"/>
      <w:marTop w:val="0"/>
      <w:marBottom w:val="0"/>
      <w:divBdr>
        <w:top w:val="none" w:sz="0" w:space="0" w:color="auto"/>
        <w:left w:val="none" w:sz="0" w:space="0" w:color="auto"/>
        <w:bottom w:val="none" w:sz="0" w:space="0" w:color="auto"/>
        <w:right w:val="none" w:sz="0" w:space="0" w:color="auto"/>
      </w:divBdr>
    </w:div>
    <w:div w:id="1821339933">
      <w:bodyDiv w:val="1"/>
      <w:marLeft w:val="0"/>
      <w:marRight w:val="0"/>
      <w:marTop w:val="0"/>
      <w:marBottom w:val="0"/>
      <w:divBdr>
        <w:top w:val="none" w:sz="0" w:space="0" w:color="auto"/>
        <w:left w:val="none" w:sz="0" w:space="0" w:color="auto"/>
        <w:bottom w:val="none" w:sz="0" w:space="0" w:color="auto"/>
        <w:right w:val="none" w:sz="0" w:space="0" w:color="auto"/>
      </w:divBdr>
    </w:div>
    <w:div w:id="1932272627">
      <w:bodyDiv w:val="1"/>
      <w:marLeft w:val="0"/>
      <w:marRight w:val="0"/>
      <w:marTop w:val="0"/>
      <w:marBottom w:val="0"/>
      <w:divBdr>
        <w:top w:val="none" w:sz="0" w:space="0" w:color="auto"/>
        <w:left w:val="none" w:sz="0" w:space="0" w:color="auto"/>
        <w:bottom w:val="none" w:sz="0" w:space="0" w:color="auto"/>
        <w:right w:val="none" w:sz="0" w:space="0" w:color="auto"/>
      </w:divBdr>
    </w:div>
    <w:div w:id="1937522120">
      <w:bodyDiv w:val="1"/>
      <w:marLeft w:val="0"/>
      <w:marRight w:val="0"/>
      <w:marTop w:val="0"/>
      <w:marBottom w:val="0"/>
      <w:divBdr>
        <w:top w:val="none" w:sz="0" w:space="0" w:color="auto"/>
        <w:left w:val="none" w:sz="0" w:space="0" w:color="auto"/>
        <w:bottom w:val="none" w:sz="0" w:space="0" w:color="auto"/>
        <w:right w:val="none" w:sz="0" w:space="0" w:color="auto"/>
      </w:divBdr>
      <w:divsChild>
        <w:div w:id="1778602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3828">
              <w:marLeft w:val="0"/>
              <w:marRight w:val="0"/>
              <w:marTop w:val="0"/>
              <w:marBottom w:val="0"/>
              <w:divBdr>
                <w:top w:val="none" w:sz="0" w:space="0" w:color="auto"/>
                <w:left w:val="none" w:sz="0" w:space="0" w:color="auto"/>
                <w:bottom w:val="none" w:sz="0" w:space="0" w:color="auto"/>
                <w:right w:val="none" w:sz="0" w:space="0" w:color="auto"/>
              </w:divBdr>
              <w:divsChild>
                <w:div w:id="15527712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59065">
      <w:bodyDiv w:val="1"/>
      <w:marLeft w:val="0"/>
      <w:marRight w:val="0"/>
      <w:marTop w:val="0"/>
      <w:marBottom w:val="0"/>
      <w:divBdr>
        <w:top w:val="none" w:sz="0" w:space="0" w:color="auto"/>
        <w:left w:val="none" w:sz="0" w:space="0" w:color="auto"/>
        <w:bottom w:val="none" w:sz="0" w:space="0" w:color="auto"/>
        <w:right w:val="none" w:sz="0" w:space="0" w:color="auto"/>
      </w:divBdr>
      <w:divsChild>
        <w:div w:id="541792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421934">
              <w:marLeft w:val="0"/>
              <w:marRight w:val="0"/>
              <w:marTop w:val="0"/>
              <w:marBottom w:val="0"/>
              <w:divBdr>
                <w:top w:val="none" w:sz="0" w:space="0" w:color="auto"/>
                <w:left w:val="none" w:sz="0" w:space="0" w:color="auto"/>
                <w:bottom w:val="none" w:sz="0" w:space="0" w:color="auto"/>
                <w:right w:val="none" w:sz="0" w:space="0" w:color="auto"/>
              </w:divBdr>
              <w:divsChild>
                <w:div w:id="11929162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3674">
      <w:bodyDiv w:val="1"/>
      <w:marLeft w:val="0"/>
      <w:marRight w:val="0"/>
      <w:marTop w:val="0"/>
      <w:marBottom w:val="0"/>
      <w:divBdr>
        <w:top w:val="none" w:sz="0" w:space="0" w:color="auto"/>
        <w:left w:val="none" w:sz="0" w:space="0" w:color="auto"/>
        <w:bottom w:val="none" w:sz="0" w:space="0" w:color="auto"/>
        <w:right w:val="none" w:sz="0" w:space="0" w:color="auto"/>
      </w:divBdr>
    </w:div>
    <w:div w:id="208610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etnam.embassy.gov.au/files/hnoi/171024_Aus4Innovation.pdf" TargetMode="External"/><Relationship Id="rId21" Type="http://schemas.openxmlformats.org/officeDocument/2006/relationships/hyperlink" Target="https://ixc.dfat.gov.au/projects/the-education-in-emergencies-challenge-a-mikta-initiative-delivered-by-australian-aid/" TargetMode="External"/><Relationship Id="rId42" Type="http://schemas.openxmlformats.org/officeDocument/2006/relationships/hyperlink" Target="https://ixc.dfat.gov.au/projects/pacific-humanitarian-challenge/" TargetMode="External"/><Relationship Id="rId47" Type="http://schemas.openxmlformats.org/officeDocument/2006/relationships/hyperlink" Target="https://ixc.dfat.gov.au/projects/the-education-in-emergencies-challenge-a-mikta-initiative-delivered-by-australian-aid/" TargetMode="External"/><Relationship Id="rId63" Type="http://schemas.openxmlformats.org/officeDocument/2006/relationships/hyperlink" Target="https://www.globalinnovationexchange.org/" TargetMode="External"/><Relationship Id="rId68" Type="http://schemas.openxmlformats.org/officeDocument/2006/relationships/hyperlink" Target="https://archive.industry.gov.au/industry/IndustryInitiatives/Pages/National-Innovation-and-Science-Agenda.aspx" TargetMode="External"/><Relationship Id="rId84" Type="http://schemas.openxmlformats.org/officeDocument/2006/relationships/hyperlink" Target="https://dfat.gov.au/news/news/Pages/inaugural-dfat-ideas-challenge.aspx" TargetMode="External"/><Relationship Id="rId89" Type="http://schemas.openxmlformats.org/officeDocument/2006/relationships/hyperlink" Target="https://ixc.dfat.gov.au/projects/google-impact-challenge/" TargetMode="External"/><Relationship Id="rId16" Type="http://schemas.openxmlformats.org/officeDocument/2006/relationships/hyperlink" Target="https://ixc.dfat.gov.au/projects/the-education-in-emergencies-challenge-a-mikta-initiative-delivered-by-australian-aid/" TargetMode="External"/><Relationship Id="rId11" Type="http://schemas.openxmlformats.org/officeDocument/2006/relationships/hyperlink" Target="https://ixc.dfat.gov.au/" TargetMode="External"/><Relationship Id="rId32" Type="http://schemas.openxmlformats.org/officeDocument/2006/relationships/hyperlink" Target="https://ixc.dfat.gov.au/projects/world-mosquito-program/" TargetMode="External"/><Relationship Id="rId37" Type="http://schemas.openxmlformats.org/officeDocument/2006/relationships/hyperlink" Target="https://meweintl.org/" TargetMode="External"/><Relationship Id="rId53" Type="http://schemas.openxmlformats.org/officeDocument/2006/relationships/footer" Target="footer2.xml"/><Relationship Id="rId58" Type="http://schemas.openxmlformats.org/officeDocument/2006/relationships/hyperlink" Target="https://dfat.gov.au/international-relations/themes/cyber-affairs/aices/index.html" TargetMode="External"/><Relationship Id="rId74" Type="http://schemas.openxmlformats.org/officeDocument/2006/relationships/hyperlink" Target="https://www.industry.gov.au/government-to-government/public-sector-innovation" TargetMode="External"/><Relationship Id="rId79" Type="http://schemas.openxmlformats.org/officeDocument/2006/relationships/hyperlink" Target="https://vietnam.embassy.gov.au/files/hnoi/171024_Aus4Innovation.pdf" TargetMode="External"/><Relationship Id="rId102" Type="http://schemas.openxmlformats.org/officeDocument/2006/relationships/hyperlink" Target="https://ixc.dfat.gov.au/projects/water-abundance-xprize/" TargetMode="External"/><Relationship Id="rId5" Type="http://schemas.openxmlformats.org/officeDocument/2006/relationships/webSettings" Target="webSettings.xml"/><Relationship Id="rId90" Type="http://schemas.openxmlformats.org/officeDocument/2006/relationships/hyperlink" Target="https://ixc.dfat.gov.au/projects/gsma/" TargetMode="External"/><Relationship Id="rId95" Type="http://schemas.openxmlformats.org/officeDocument/2006/relationships/hyperlink" Target="https://ixc.dfat.gov.au/meet-the-innovators-using-storytelling-to-improve-nutrition-in-the-pacific/" TargetMode="External"/><Relationship Id="rId22" Type="http://schemas.openxmlformats.org/officeDocument/2006/relationships/hyperlink" Target="https://ixc.dfat.gov.au/projects/launch-food/" TargetMode="External"/><Relationship Id="rId27" Type="http://schemas.openxmlformats.org/officeDocument/2006/relationships/hyperlink" Target="https://ixc.dfat.gov.au/projects/better-data-for-health-partnership/" TargetMode="External"/><Relationship Id="rId43" Type="http://schemas.openxmlformats.org/officeDocument/2006/relationships/hyperlink" Target="https://ixc.dfat.gov.au/projects/the-education-in-emergencies-challenge-a-mikta-initiative-delivered-by-australian-aid/" TargetMode="External"/><Relationship Id="rId48" Type="http://schemas.openxmlformats.org/officeDocument/2006/relationships/hyperlink" Target="https://ixc.dfat.gov.au/projects/frontier-innovators/" TargetMode="External"/><Relationship Id="rId64" Type="http://schemas.openxmlformats.org/officeDocument/2006/relationships/hyperlink" Target="https://ixc.dfat.gov.au/innovation-resource-facility/" TargetMode="External"/><Relationship Id="rId69" Type="http://schemas.openxmlformats.org/officeDocument/2006/relationships/hyperlink" Target="https://ixc.dfat.gov.au/projects/global-innovation-fund/" TargetMode="External"/><Relationship Id="rId80" Type="http://schemas.openxmlformats.org/officeDocument/2006/relationships/hyperlink" Target="http://www.awa.asn.au/AWA_MBRR/Business_Support/International/Initiatives.aspx" TargetMode="External"/><Relationship Id="rId85" Type="http://schemas.openxmlformats.org/officeDocument/2006/relationships/hyperlink" Target="https://dfat.gov.au/news/news/Pages/inaugural-dfat-ideas-challenge.aspx" TargetMode="External"/><Relationship Id="rId12" Type="http://schemas.openxmlformats.org/officeDocument/2006/relationships/image" Target="media/image1.png"/><Relationship Id="rId17" Type="http://schemas.openxmlformats.org/officeDocument/2006/relationships/hyperlink" Target="https://ixc.dfat.gov.au/projects/world-mosquito-program/" TargetMode="External"/><Relationship Id="rId33" Type="http://schemas.openxmlformats.org/officeDocument/2006/relationships/hyperlink" Target="https://ixc.dfat.gov.au/projects/launch-food/" TargetMode="External"/><Relationship Id="rId38" Type="http://schemas.openxmlformats.org/officeDocument/2006/relationships/hyperlink" Target="https://ixc.dfat.gov.au/projects/world-mosquito-program/" TargetMode="External"/><Relationship Id="rId59" Type="http://schemas.openxmlformats.org/officeDocument/2006/relationships/hyperlink" Target="https://challenge.iaea.org/challenges/2017-SG-Robotics" TargetMode="External"/><Relationship Id="rId103" Type="http://schemas.openxmlformats.org/officeDocument/2006/relationships/hyperlink" Target="https://ixc.dfat.gov.au/projects/solvemitchallenge/" TargetMode="External"/><Relationship Id="rId20" Type="http://schemas.openxmlformats.org/officeDocument/2006/relationships/hyperlink" Target="https://ixc.dfat.gov.au/projects/solvemitchallenge/" TargetMode="External"/><Relationship Id="rId41" Type="http://schemas.openxmlformats.org/officeDocument/2006/relationships/hyperlink" Target="https://ixc.dfat.gov.au/projects/tupaia/" TargetMode="External"/><Relationship Id="rId54" Type="http://schemas.openxmlformats.org/officeDocument/2006/relationships/header" Target="header3.xml"/><Relationship Id="rId62" Type="http://schemas.openxmlformats.org/officeDocument/2006/relationships/hyperlink" Target="https://ixc.dfat.gov.au/projects/waterinnovationengine/" TargetMode="External"/><Relationship Id="rId70" Type="http://schemas.openxmlformats.org/officeDocument/2006/relationships/hyperlink" Target="https://ixc.dfat.gov.au/projects/frontier-innovators/" TargetMode="External"/><Relationship Id="rId75" Type="http://schemas.openxmlformats.org/officeDocument/2006/relationships/hyperlink" Target="https://www.idiainnovation.org/" TargetMode="External"/><Relationship Id="rId83" Type="http://schemas.openxmlformats.org/officeDocument/2006/relationships/hyperlink" Target="https://ixc.dfat.gov.au/projects/better-data-for-health-partnership/" TargetMode="External"/><Relationship Id="rId88" Type="http://schemas.openxmlformats.org/officeDocument/2006/relationships/hyperlink" Target="https://ixc.dfat.gov.au/projects/global-innovation-fund/" TargetMode="External"/><Relationship Id="rId91" Type="http://schemas.openxmlformats.org/officeDocument/2006/relationships/hyperlink" Target="https://ixc.dfat.gov.au/projects/hamutuk/" TargetMode="External"/><Relationship Id="rId96" Type="http://schemas.openxmlformats.org/officeDocument/2006/relationships/hyperlink" Target="https://meweintl.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xc.dfat.gov.au/projects/scaling-frontier-innovation/" TargetMode="External"/><Relationship Id="rId23" Type="http://schemas.openxmlformats.org/officeDocument/2006/relationships/hyperlink" Target="https://ixc.dfat.gov.au/meet-the-innovators-using-storytelling-to-improve-nutrition-in-the-pacific/" TargetMode="External"/><Relationship Id="rId28" Type="http://schemas.openxmlformats.org/officeDocument/2006/relationships/hyperlink" Target="https://ixc.dfat.gov.au/projects/solvemitchallenge/" TargetMode="External"/><Relationship Id="rId36" Type="http://schemas.openxmlformats.org/officeDocument/2006/relationships/hyperlink" Target="https://ixc.dfat.gov.au/projects/the-education-in-emergencies-challenge-a-mikta-initiative-delivered-by-australian-aid/" TargetMode="External"/><Relationship Id="rId49" Type="http://schemas.openxmlformats.org/officeDocument/2006/relationships/hyperlink" Target="https://ixc.dfat.gov.au/projects/google-impact-challenge/" TargetMode="External"/><Relationship Id="rId57" Type="http://schemas.openxmlformats.org/officeDocument/2006/relationships/hyperlink" Target="https://ixc.dfat.gov.au/projects/ideas-challenge-2-0/" TargetMode="External"/><Relationship Id="rId106" Type="http://schemas.openxmlformats.org/officeDocument/2006/relationships/theme" Target="theme/theme1.xml"/><Relationship Id="rId10" Type="http://schemas.openxmlformats.org/officeDocument/2006/relationships/hyperlink" Target="https://dfat.gov.au/news/news/Pages/inaugural-dfat-ideas-challenge.aspx" TargetMode="External"/><Relationship Id="rId31" Type="http://schemas.openxmlformats.org/officeDocument/2006/relationships/hyperlink" Target="https://ixc.dfat.gov.au/projects/water-abundance-xprize/" TargetMode="External"/><Relationship Id="rId44" Type="http://schemas.openxmlformats.org/officeDocument/2006/relationships/hyperlink" Target="https://ixc.dfat.gov.au/projects/frontier-innovators/" TargetMode="External"/><Relationship Id="rId52" Type="http://schemas.openxmlformats.org/officeDocument/2006/relationships/footer" Target="footer1.xml"/><Relationship Id="rId60" Type="http://schemas.openxmlformats.org/officeDocument/2006/relationships/hyperlink" Target="https://ixc.dfat.gov.au/innovation-resource-facility/" TargetMode="External"/><Relationship Id="rId65" Type="http://schemas.openxmlformats.org/officeDocument/2006/relationships/hyperlink" Target="https://ixc.dfat.gov.au/projects/pacific-humanitarian-challenge/" TargetMode="External"/><Relationship Id="rId73" Type="http://schemas.openxmlformats.org/officeDocument/2006/relationships/hyperlink" Target="https://ixc.dfat.gov.au/projects/tupaia/" TargetMode="External"/><Relationship Id="rId78" Type="http://schemas.openxmlformats.org/officeDocument/2006/relationships/hyperlink" Target="https://ixc.dfat.gov.au/" TargetMode="External"/><Relationship Id="rId81" Type="http://schemas.openxmlformats.org/officeDocument/2006/relationships/hyperlink" Target="https://ixc.dfat.gov.au/projects/the-blue-economy-challenge/" TargetMode="External"/><Relationship Id="rId86" Type="http://schemas.openxmlformats.org/officeDocument/2006/relationships/hyperlink" Target="https://ixc.dfat.gov.au/projects/ideas-challenge-2-0/" TargetMode="External"/><Relationship Id="rId94" Type="http://schemas.openxmlformats.org/officeDocument/2006/relationships/hyperlink" Target="https://ixc.dfat.gov.au/projects/launch-food/" TargetMode="External"/><Relationship Id="rId99" Type="http://schemas.openxmlformats.org/officeDocument/2006/relationships/hyperlink" Target="https://ixc.dfat.gov.au/projects/scaling-frontier-innovation/" TargetMode="External"/><Relationship Id="rId101" Type="http://schemas.openxmlformats.org/officeDocument/2006/relationships/hyperlink" Target="https://ixc.dfat.gov.au/projects/world-mosquito-program/" TargetMode="External"/><Relationship Id="rId4" Type="http://schemas.openxmlformats.org/officeDocument/2006/relationships/settings" Target="settings.xml"/><Relationship Id="rId9" Type="http://schemas.openxmlformats.org/officeDocument/2006/relationships/hyperlink" Target="https://www.idiainnovation.org/" TargetMode="External"/><Relationship Id="rId13" Type="http://schemas.openxmlformats.org/officeDocument/2006/relationships/hyperlink" Target="https://ixc.dfat.gov.au/projects/launch-food/" TargetMode="External"/><Relationship Id="rId18" Type="http://schemas.openxmlformats.org/officeDocument/2006/relationships/hyperlink" Target="http://www.awa.asn.au/AWA_MBRR/Business_Support/International/Initiatives.aspx" TargetMode="External"/><Relationship Id="rId39" Type="http://schemas.openxmlformats.org/officeDocument/2006/relationships/hyperlink" Target="https://ixc.dfat.gov.au/projects/better-data-for-health-partnership/" TargetMode="External"/><Relationship Id="rId34" Type="http://schemas.openxmlformats.org/officeDocument/2006/relationships/hyperlink" Target="https://www.idiainnovation.org/" TargetMode="External"/><Relationship Id="rId50" Type="http://schemas.openxmlformats.org/officeDocument/2006/relationships/header" Target="header1.xml"/><Relationship Id="rId55" Type="http://schemas.openxmlformats.org/officeDocument/2006/relationships/footer" Target="footer3.xml"/><Relationship Id="rId76" Type="http://schemas.openxmlformats.org/officeDocument/2006/relationships/hyperlink" Target="https://www.andeglobal.org/" TargetMode="External"/><Relationship Id="rId97" Type="http://schemas.openxmlformats.org/officeDocument/2006/relationships/hyperlink" Target="https://ixc.dfat.gov.au/projects/the-education-in-emergencies-challenge-a-mikta-initiative-delivered-by-australian-aid/" TargetMode="External"/><Relationship Id="rId104" Type="http://schemas.openxmlformats.org/officeDocument/2006/relationships/hyperlink" Target="https://solve.mit.edu/challenges/youth-skills-the-workforce-of-the-future" TargetMode="External"/><Relationship Id="rId7" Type="http://schemas.openxmlformats.org/officeDocument/2006/relationships/endnotes" Target="endnotes.xml"/><Relationship Id="rId71" Type="http://schemas.openxmlformats.org/officeDocument/2006/relationships/hyperlink" Target="https://vietnam.embassy.gov.au/files/hnoi/171024_Aus4Innovation.pdf" TargetMode="External"/><Relationship Id="rId92" Type="http://schemas.openxmlformats.org/officeDocument/2006/relationships/hyperlink" Target="https://ixc.dfat.gov.au/innovation-resource-facility/" TargetMode="External"/><Relationship Id="rId2" Type="http://schemas.openxmlformats.org/officeDocument/2006/relationships/numbering" Target="numbering.xml"/><Relationship Id="rId29" Type="http://schemas.openxmlformats.org/officeDocument/2006/relationships/hyperlink" Target="https://ixc.dfat.gov.au/projects/world-mosquito-program/" TargetMode="External"/><Relationship Id="rId24" Type="http://schemas.openxmlformats.org/officeDocument/2006/relationships/hyperlink" Target="https://ixc.dfat.gov.au/projects/gsma/" TargetMode="External"/><Relationship Id="rId40" Type="http://schemas.openxmlformats.org/officeDocument/2006/relationships/hyperlink" Target="https://energaia.com/" TargetMode="External"/><Relationship Id="rId45" Type="http://schemas.openxmlformats.org/officeDocument/2006/relationships/hyperlink" Target="https://www.launch.org/food/" TargetMode="External"/><Relationship Id="rId66" Type="http://schemas.openxmlformats.org/officeDocument/2006/relationships/hyperlink" Target="https://ixc.dfat.gov.au/humanitarian-supplies-challenge/" TargetMode="External"/><Relationship Id="rId87" Type="http://schemas.openxmlformats.org/officeDocument/2006/relationships/hyperlink" Target="https://energaia.com/" TargetMode="External"/><Relationship Id="rId61" Type="http://schemas.openxmlformats.org/officeDocument/2006/relationships/hyperlink" Target="https://ixc.dfat.gov.au/projects/global-innovation-fund/" TargetMode="External"/><Relationship Id="rId82" Type="http://schemas.openxmlformats.org/officeDocument/2006/relationships/hyperlink" Target="https://challenge.iaea.org/challenges/2017-SG-Robotics" TargetMode="External"/><Relationship Id="rId19" Type="http://schemas.openxmlformats.org/officeDocument/2006/relationships/hyperlink" Target="https://ixc.dfat.gov.au/projects/launch-food/" TargetMode="External"/><Relationship Id="rId14" Type="http://schemas.openxmlformats.org/officeDocument/2006/relationships/hyperlink" Target="https://ixc.dfat.gov.au/projects/the-blue-economy-challenge/" TargetMode="External"/><Relationship Id="rId30" Type="http://schemas.openxmlformats.org/officeDocument/2006/relationships/hyperlink" Target="https://ixc.dfat.gov.au/projects/global-innovation-fund/" TargetMode="External"/><Relationship Id="rId35" Type="http://schemas.openxmlformats.org/officeDocument/2006/relationships/image" Target="media/image2.png"/><Relationship Id="rId56" Type="http://schemas.openxmlformats.org/officeDocument/2006/relationships/hyperlink" Target="https://dfat.gov.au/news/news/Pages/inaugural-dfat-ideas-challenge.aspx" TargetMode="External"/><Relationship Id="rId77" Type="http://schemas.openxmlformats.org/officeDocument/2006/relationships/hyperlink" Target="https://ixc.dfat.gov.au/projects/launch-food/" TargetMode="External"/><Relationship Id="rId100" Type="http://schemas.openxmlformats.org/officeDocument/2006/relationships/hyperlink" Target="https://ixc.dfat.gov.au/projects/tupaia/" TargetMode="External"/><Relationship Id="rId105" Type="http://schemas.openxmlformats.org/officeDocument/2006/relationships/fontTable" Target="fontTable.xml"/><Relationship Id="rId8" Type="http://schemas.openxmlformats.org/officeDocument/2006/relationships/hyperlink" Target="https://ixc.dfat.gov.au/" TargetMode="External"/><Relationship Id="rId51" Type="http://schemas.openxmlformats.org/officeDocument/2006/relationships/header" Target="header2.xml"/><Relationship Id="rId72" Type="http://schemas.openxmlformats.org/officeDocument/2006/relationships/image" Target="media/image3.png"/><Relationship Id="rId93" Type="http://schemas.openxmlformats.org/officeDocument/2006/relationships/hyperlink" Target="https://ixc.dfat.gov.au/projects/frontier-innovators/" TargetMode="External"/><Relationship Id="rId98" Type="http://schemas.openxmlformats.org/officeDocument/2006/relationships/hyperlink" Target="https://ixc.dfat.gov.au/projects/pacific-humanitarian-challenge/" TargetMode="External"/><Relationship Id="rId3" Type="http://schemas.openxmlformats.org/officeDocument/2006/relationships/styles" Target="styles.xml"/><Relationship Id="rId25" Type="http://schemas.openxmlformats.org/officeDocument/2006/relationships/hyperlink" Target="https://ixc.dfat.gov.au/projects/scaling-frontier-innovation/" TargetMode="External"/><Relationship Id="rId46" Type="http://schemas.openxmlformats.org/officeDocument/2006/relationships/hyperlink" Target="https://ixc.dfat.gov.au/projects/hamutuk/" TargetMode="External"/><Relationship Id="rId67" Type="http://schemas.openxmlformats.org/officeDocument/2006/relationships/hyperlink" Target="https://challenge.iaea.org/challenges/2017-SG-Robotic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tatic1.squarespace.com/static/5b156e3bf2e6b10bb0788609/t/5b1717eb8a922da5042cd0bc/1528240110897/Insights+on+Scaling+Innovation.pdf" TargetMode="External"/><Relationship Id="rId2" Type="http://schemas.openxmlformats.org/officeDocument/2006/relationships/hyperlink" Target="https://ixc.dfat.gov.au/projects/technology-for-development-indo-pacific-state-of-play/" TargetMode="External"/><Relationship Id="rId1" Type="http://schemas.openxmlformats.org/officeDocument/2006/relationships/hyperlink" Target="https://researchgate.net/publication/324792370" TargetMode="External"/></Relationships>
</file>

<file path=word/theme/theme1.xml><?xml version="1.0" encoding="utf-8"?>
<a:theme xmlns:a="http://schemas.openxmlformats.org/drawingml/2006/main" name="R4D_2018">
  <a:themeElements>
    <a:clrScheme name="Custom 2">
      <a:dk1>
        <a:srgbClr val="313233"/>
      </a:dk1>
      <a:lt1>
        <a:srgbClr val="FFFFFF"/>
      </a:lt1>
      <a:dk2>
        <a:srgbClr val="313233"/>
      </a:dk2>
      <a:lt2>
        <a:srgbClr val="FFFFFF"/>
      </a:lt2>
      <a:accent1>
        <a:srgbClr val="00A6B6"/>
      </a:accent1>
      <a:accent2>
        <a:srgbClr val="05458F"/>
      </a:accent2>
      <a:accent3>
        <a:srgbClr val="572181"/>
      </a:accent3>
      <a:accent4>
        <a:srgbClr val="D6F7FE"/>
      </a:accent4>
      <a:accent5>
        <a:srgbClr val="636466"/>
      </a:accent5>
      <a:accent6>
        <a:srgbClr val="E32726"/>
      </a:accent6>
      <a:hlink>
        <a:srgbClr val="00A6B6"/>
      </a:hlink>
      <a:folHlink>
        <a:srgbClr val="05458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R4D-PowerPointTemplate_2018" id="{38ABAE18-0B06-4FEB-8191-ECBCD89B2A54}" vid="{635F01F4-C1D4-41C5-B1F2-1CA43919367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8CFB4-F34F-4044-BD3A-4FDCA96DA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10029</Words>
  <Characters>57170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Elson</dc:creator>
  <cp:keywords/>
  <dc:description/>
  <cp:lastModifiedBy>Olivia Elson</cp:lastModifiedBy>
  <cp:revision>4</cp:revision>
  <dcterms:created xsi:type="dcterms:W3CDTF">2019-09-13T11:11:00Z</dcterms:created>
  <dcterms:modified xsi:type="dcterms:W3CDTF">2019-09-13T11:14:00Z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1849f3d6-70bd-4f46-a3f6-f237cfe1d3ed</vt:lpwstr>
  </property>
  <property fmtid="{D5CDD505-2E9C-101B-9397-08002B2CF9AE}" pid="3" name="SEC">
    <vt:lpwstr>UNCLASSIFIED</vt:lpwstr>
  </property>
  <property fmtid="{D5CDD505-2E9C-101B-9397-08002B2CF9AE}" pid="4" name="DLM">
    <vt:lpwstr>No DLM</vt:lpwstr>
  </property>
</Properties>
</file>